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AA" w:rsidRPr="0091155E" w:rsidRDefault="00F56984" w:rsidP="00F56984">
      <w:pPr>
        <w:spacing w:line="360" w:lineRule="auto"/>
        <w:jc w:val="center"/>
        <w:rPr>
          <w:b/>
          <w:lang w:val="ro-RO"/>
        </w:rPr>
      </w:pPr>
      <w:r w:rsidRPr="0091155E">
        <w:rPr>
          <w:b/>
          <w:lang w:val="ro-RO"/>
        </w:rPr>
        <w:t>ANALIZA DE SITUAŢIE</w:t>
      </w:r>
    </w:p>
    <w:p w:rsidR="00F56984" w:rsidRPr="0091155E" w:rsidRDefault="00F56984" w:rsidP="00F56984">
      <w:pPr>
        <w:spacing w:line="360" w:lineRule="auto"/>
        <w:jc w:val="center"/>
        <w:rPr>
          <w:lang w:val="ro-RO"/>
        </w:rPr>
      </w:pPr>
    </w:p>
    <w:p w:rsidR="00F56984" w:rsidRPr="0091155E" w:rsidRDefault="00F56984" w:rsidP="000920C8">
      <w:pPr>
        <w:numPr>
          <w:ilvl w:val="0"/>
          <w:numId w:val="31"/>
        </w:numPr>
        <w:spacing w:line="360" w:lineRule="auto"/>
        <w:jc w:val="both"/>
        <w:rPr>
          <w:b/>
        </w:rPr>
      </w:pPr>
      <w:r w:rsidRPr="0091155E">
        <w:rPr>
          <w:b/>
        </w:rPr>
        <w:t xml:space="preserve">Date </w:t>
      </w:r>
      <w:proofErr w:type="spellStart"/>
      <w:r w:rsidRPr="0091155E">
        <w:rPr>
          <w:b/>
        </w:rPr>
        <w:t>statistice</w:t>
      </w:r>
      <w:proofErr w:type="spellEnd"/>
    </w:p>
    <w:p w:rsidR="004344AA" w:rsidRPr="0091155E" w:rsidRDefault="004344AA" w:rsidP="00EC0F52">
      <w:pPr>
        <w:numPr>
          <w:ilvl w:val="0"/>
          <w:numId w:val="28"/>
        </w:numPr>
        <w:spacing w:line="360" w:lineRule="auto"/>
        <w:jc w:val="both"/>
        <w:rPr>
          <w:b/>
        </w:rPr>
      </w:pPr>
      <w:proofErr w:type="spellStart"/>
      <w:r w:rsidRPr="0091155E">
        <w:rPr>
          <w:b/>
        </w:rPr>
        <w:t>Internaţionale</w:t>
      </w:r>
      <w:proofErr w:type="spellEnd"/>
    </w:p>
    <w:p w:rsidR="00A143C6" w:rsidRPr="0091155E" w:rsidRDefault="00EA39FF" w:rsidP="00EA39FF">
      <w:pPr>
        <w:spacing w:line="360" w:lineRule="auto"/>
        <w:jc w:val="both"/>
        <w:rPr>
          <w:lang w:val="ro-RO"/>
        </w:rPr>
      </w:pPr>
      <w:r w:rsidRPr="0091155E">
        <w:rPr>
          <w:lang w:val="ro-RO"/>
        </w:rPr>
        <w:tab/>
      </w:r>
      <w:r w:rsidR="00A143C6" w:rsidRPr="0091155E">
        <w:rPr>
          <w:lang w:val="ro-RO"/>
        </w:rPr>
        <w:t xml:space="preserve">Presiunea arterială crescută este </w:t>
      </w:r>
      <w:r w:rsidR="00B555EA" w:rsidRPr="0091155E">
        <w:rPr>
          <w:lang w:val="ro-RO"/>
        </w:rPr>
        <w:t>principalul</w:t>
      </w:r>
      <w:r w:rsidR="00A143C6" w:rsidRPr="0091155E">
        <w:rPr>
          <w:lang w:val="ro-RO"/>
        </w:rPr>
        <w:t xml:space="preserve"> factor de risc pentru deces şi disabilitate </w:t>
      </w:r>
      <w:r w:rsidR="00FA0989" w:rsidRPr="0091155E">
        <w:rPr>
          <w:lang w:val="ro-RO"/>
        </w:rPr>
        <w:t xml:space="preserve">la scară </w:t>
      </w:r>
      <w:r w:rsidR="00A143C6" w:rsidRPr="0091155E">
        <w:rPr>
          <w:lang w:val="ro-RO"/>
        </w:rPr>
        <w:t>globală, conform Organizaţiei Mondiale a Sănătăţii şi Societăţii Internaţionale de Hipertensiune (</w:t>
      </w:r>
      <w:r w:rsidR="00A143C6" w:rsidRPr="0091155E">
        <w:rPr>
          <w:rStyle w:val="FootnoteReference"/>
          <w:vertAlign w:val="baseline"/>
          <w:lang w:val="ro-RO"/>
        </w:rPr>
        <w:footnoteReference w:id="2"/>
      </w:r>
      <w:r w:rsidR="00A143C6" w:rsidRPr="0091155E">
        <w:rPr>
          <w:lang w:val="ro-RO"/>
        </w:rPr>
        <w:t>).</w:t>
      </w:r>
    </w:p>
    <w:p w:rsidR="00375799" w:rsidRPr="0091155E" w:rsidRDefault="00375799" w:rsidP="00A143C6">
      <w:pPr>
        <w:spacing w:line="360" w:lineRule="auto"/>
        <w:ind w:firstLine="720"/>
        <w:jc w:val="both"/>
        <w:rPr>
          <w:lang w:val="ro-RO"/>
        </w:rPr>
      </w:pPr>
      <w:r w:rsidRPr="0091155E">
        <w:rPr>
          <w:lang w:val="ro-RO"/>
        </w:rPr>
        <w:t xml:space="preserve">Se estimează că presiunea arterială crescută a fost responsabilă pentru 9.4 </w:t>
      </w:r>
      <w:r w:rsidR="00A143C6" w:rsidRPr="0091155E">
        <w:rPr>
          <w:lang w:val="ro-RO"/>
        </w:rPr>
        <w:t>milioane</w:t>
      </w:r>
      <w:r w:rsidRPr="0091155E">
        <w:rPr>
          <w:lang w:val="ro-RO"/>
        </w:rPr>
        <w:t xml:space="preserve"> decese şi 162 milioane ani de viaţă pierduţi în 2010</w:t>
      </w:r>
      <w:r w:rsidR="00B555EA" w:rsidRPr="0091155E">
        <w:rPr>
          <w:lang w:val="ro-RO"/>
        </w:rPr>
        <w:t>,</w:t>
      </w:r>
      <w:r w:rsidR="00A143C6" w:rsidRPr="0091155E">
        <w:rPr>
          <w:lang w:val="ro-RO"/>
        </w:rPr>
        <w:t xml:space="preserve"> 50% dintre bolile cardiace, accidente</w:t>
      </w:r>
      <w:r w:rsidR="00B555EA" w:rsidRPr="0091155E">
        <w:rPr>
          <w:lang w:val="ro-RO"/>
        </w:rPr>
        <w:t>le</w:t>
      </w:r>
      <w:r w:rsidR="00A143C6" w:rsidRPr="0091155E">
        <w:rPr>
          <w:lang w:val="ro-RO"/>
        </w:rPr>
        <w:t xml:space="preserve"> vas</w:t>
      </w:r>
      <w:r w:rsidR="00B555EA" w:rsidRPr="0091155E">
        <w:rPr>
          <w:lang w:val="ro-RO"/>
        </w:rPr>
        <w:t>culare cerebrale şi insuficienţa</w:t>
      </w:r>
      <w:r w:rsidR="00A143C6" w:rsidRPr="0091155E">
        <w:rPr>
          <w:lang w:val="ro-RO"/>
        </w:rPr>
        <w:t xml:space="preserve"> cardiacă</w:t>
      </w:r>
      <w:r w:rsidR="00672EE2" w:rsidRPr="0091155E">
        <w:rPr>
          <w:lang w:val="ro-RO"/>
        </w:rPr>
        <w:t xml:space="preserve"> </w:t>
      </w:r>
      <w:r w:rsidR="00A143C6" w:rsidRPr="0091155E">
        <w:rPr>
          <w:lang w:val="ro-RO"/>
        </w:rPr>
        <w:t>(</w:t>
      </w:r>
      <w:r w:rsidR="00A143C6" w:rsidRPr="0091155E">
        <w:rPr>
          <w:rStyle w:val="FootnoteReference"/>
          <w:vertAlign w:val="baseline"/>
          <w:lang w:val="ro-RO"/>
        </w:rPr>
        <w:footnoteReference w:id="3"/>
      </w:r>
      <w:r w:rsidR="00A143C6" w:rsidRPr="0091155E">
        <w:rPr>
          <w:lang w:val="ro-RO"/>
        </w:rPr>
        <w:t>,</w:t>
      </w:r>
      <w:r w:rsidR="00A143C6" w:rsidRPr="0091155E">
        <w:rPr>
          <w:rStyle w:val="FootnoteReference"/>
          <w:vertAlign w:val="baseline"/>
          <w:lang w:val="ro-RO"/>
        </w:rPr>
        <w:footnoteReference w:id="4"/>
      </w:r>
      <w:r w:rsidR="00A143C6" w:rsidRPr="0091155E">
        <w:rPr>
          <w:lang w:val="ro-RO"/>
        </w:rPr>
        <w:t>)</w:t>
      </w:r>
      <w:r w:rsidR="00B555EA" w:rsidRPr="0091155E">
        <w:rPr>
          <w:lang w:val="ro-RO"/>
        </w:rPr>
        <w:t>,</w:t>
      </w:r>
      <w:r w:rsidR="00A143C6" w:rsidRPr="0091155E">
        <w:rPr>
          <w:lang w:val="ro-RO"/>
        </w:rPr>
        <w:t xml:space="preserve"> 13% dintre decese la scară globală şi peste 40% dintre decesele la persoanele cu diabet</w:t>
      </w:r>
      <w:r w:rsidR="00672EE2" w:rsidRPr="0091155E">
        <w:rPr>
          <w:lang w:val="ro-RO"/>
        </w:rPr>
        <w:t xml:space="preserve"> (</w:t>
      </w:r>
      <w:r w:rsidR="00672EE2" w:rsidRPr="0091155E">
        <w:rPr>
          <w:rStyle w:val="FootnoteReference"/>
          <w:vertAlign w:val="baseline"/>
          <w:lang w:val="ro-RO"/>
        </w:rPr>
        <w:footnoteReference w:id="5"/>
      </w:r>
      <w:r w:rsidR="00672EE2" w:rsidRPr="0091155E">
        <w:rPr>
          <w:lang w:val="ro-RO"/>
        </w:rPr>
        <w:t>). Hipertensiunea este</w:t>
      </w:r>
      <w:r w:rsidR="00B555EA" w:rsidRPr="0091155E">
        <w:rPr>
          <w:lang w:val="ro-RO"/>
        </w:rPr>
        <w:t>,</w:t>
      </w:r>
      <w:r w:rsidR="00672EE2" w:rsidRPr="0091155E">
        <w:rPr>
          <w:lang w:val="ro-RO"/>
        </w:rPr>
        <w:t xml:space="preserve"> de asemenea, un factor de risc important fetal şi maternal </w:t>
      </w:r>
      <w:r w:rsidR="00B555EA" w:rsidRPr="0091155E">
        <w:rPr>
          <w:lang w:val="ro-RO"/>
        </w:rPr>
        <w:t>(</w:t>
      </w:r>
      <w:r w:rsidR="00672EE2" w:rsidRPr="0091155E">
        <w:rPr>
          <w:rStyle w:val="FootnoteReference"/>
          <w:vertAlign w:val="baseline"/>
          <w:lang w:val="ro-RO"/>
        </w:rPr>
        <w:footnoteReference w:id="6"/>
      </w:r>
      <w:r w:rsidR="00672EE2" w:rsidRPr="0091155E">
        <w:rPr>
          <w:lang w:val="ro-RO"/>
        </w:rPr>
        <w:t xml:space="preserve">, </w:t>
      </w:r>
      <w:r w:rsidR="00672EE2" w:rsidRPr="0091155E">
        <w:rPr>
          <w:rStyle w:val="FootnoteReference"/>
          <w:vertAlign w:val="baseline"/>
          <w:lang w:val="ro-RO"/>
        </w:rPr>
        <w:footnoteReference w:id="7"/>
      </w:r>
      <w:r w:rsidR="00B555EA" w:rsidRPr="0091155E">
        <w:rPr>
          <w:lang w:val="ro-RO"/>
        </w:rPr>
        <w:t>).</w:t>
      </w:r>
    </w:p>
    <w:p w:rsidR="00EA39FF" w:rsidRPr="0091155E" w:rsidRDefault="00EA39FF" w:rsidP="00EA39FF">
      <w:pPr>
        <w:spacing w:line="360" w:lineRule="auto"/>
        <w:jc w:val="both"/>
        <w:rPr>
          <w:lang w:val="ro-RO"/>
        </w:rPr>
      </w:pPr>
      <w:r w:rsidRPr="0091155E">
        <w:rPr>
          <w:lang w:val="ro-RO"/>
        </w:rPr>
        <w:tab/>
      </w:r>
      <w:r w:rsidR="00FA0989" w:rsidRPr="0091155E">
        <w:rPr>
          <w:lang w:val="ro-RO"/>
        </w:rPr>
        <w:t xml:space="preserve">În prezent </w:t>
      </w:r>
      <w:r w:rsidR="00B555EA" w:rsidRPr="0091155E">
        <w:rPr>
          <w:lang w:val="ro-RO"/>
        </w:rPr>
        <w:t xml:space="preserve">HTA a atins dimensiuni epidemice. </w:t>
      </w:r>
      <w:r w:rsidR="009F7AEC" w:rsidRPr="0091155E">
        <w:rPr>
          <w:lang w:val="ro-RO"/>
        </w:rPr>
        <w:t>În 2008</w:t>
      </w:r>
      <w:r w:rsidR="009206EA" w:rsidRPr="0091155E">
        <w:rPr>
          <w:lang w:val="ro-RO"/>
        </w:rPr>
        <w:t>,</w:t>
      </w:r>
      <w:r w:rsidR="009F7AEC" w:rsidRPr="0091155E">
        <w:rPr>
          <w:lang w:val="ro-RO"/>
        </w:rPr>
        <w:t xml:space="preserve"> </w:t>
      </w:r>
      <w:r w:rsidRPr="0091155E">
        <w:rPr>
          <w:lang w:val="ro-RO"/>
        </w:rPr>
        <w:t xml:space="preserve">prevalenţa HTA </w:t>
      </w:r>
      <w:r w:rsidR="009F7AEC" w:rsidRPr="0091155E">
        <w:rPr>
          <w:lang w:val="ro-RO"/>
        </w:rPr>
        <w:t xml:space="preserve">la scară globală </w:t>
      </w:r>
      <w:r w:rsidRPr="0091155E">
        <w:rPr>
          <w:lang w:val="ro-RO"/>
        </w:rPr>
        <w:t xml:space="preserve">în rândul adulţilor de 25 de ani şi mai mult a fost în jur de 40%. Chiar dacă </w:t>
      </w:r>
      <w:r w:rsidR="00A15EB6" w:rsidRPr="0091155E">
        <w:rPr>
          <w:lang w:val="ro-RO"/>
        </w:rPr>
        <w:t xml:space="preserve">în intervalul 1980 şi 2008, </w:t>
      </w:r>
      <w:r w:rsidRPr="0091155E">
        <w:rPr>
          <w:lang w:val="ro-RO"/>
        </w:rPr>
        <w:t>proporţia populaţiei</w:t>
      </w:r>
      <w:r w:rsidR="00536FA2">
        <w:rPr>
          <w:lang w:val="ro-RO"/>
        </w:rPr>
        <w:t xml:space="preserve"> cu</w:t>
      </w:r>
      <w:r w:rsidRPr="0091155E">
        <w:rPr>
          <w:lang w:val="ro-RO"/>
        </w:rPr>
        <w:t xml:space="preserve"> presiune arterială ridicată sau hipertensiune a </w:t>
      </w:r>
      <w:r w:rsidR="00534D26" w:rsidRPr="0091155E">
        <w:rPr>
          <w:lang w:val="ro-RO"/>
        </w:rPr>
        <w:t xml:space="preserve">prezentat o uşoară scădere, </w:t>
      </w:r>
      <w:r w:rsidRPr="0091155E">
        <w:rPr>
          <w:lang w:val="ro-RO"/>
        </w:rPr>
        <w:t>numărul celor cu HTA a crescut de la 6</w:t>
      </w:r>
      <w:r w:rsidR="00207561" w:rsidRPr="0091155E">
        <w:rPr>
          <w:lang w:val="ro-RO"/>
        </w:rPr>
        <w:t xml:space="preserve">00 milioane în 1980 la aproape 1 </w:t>
      </w:r>
      <w:r w:rsidRPr="0091155E">
        <w:rPr>
          <w:lang w:val="ro-RO"/>
        </w:rPr>
        <w:t>miliard în 2008</w:t>
      </w:r>
      <w:r w:rsidR="00207561" w:rsidRPr="0091155E">
        <w:rPr>
          <w:lang w:val="ro-RO"/>
        </w:rPr>
        <w:t xml:space="preserve"> </w:t>
      </w:r>
      <w:r w:rsidR="00534D26" w:rsidRPr="0091155E">
        <w:rPr>
          <w:lang w:val="ro-RO"/>
        </w:rPr>
        <w:t xml:space="preserve">ca urmare a procesului de creştere a populaţiei şi a fenomenului de îmbătrânire </w:t>
      </w:r>
      <w:r w:rsidR="00207561" w:rsidRPr="0091155E">
        <w:rPr>
          <w:lang w:val="ro-RO"/>
        </w:rPr>
        <w:t>(</w:t>
      </w:r>
      <w:r w:rsidR="005F2D06" w:rsidRPr="0091155E">
        <w:rPr>
          <w:rStyle w:val="FootnoteReference"/>
          <w:vertAlign w:val="baseline"/>
          <w:lang w:val="ro-RO"/>
        </w:rPr>
        <w:footnoteReference w:id="8"/>
      </w:r>
      <w:r w:rsidR="00207561" w:rsidRPr="0091155E">
        <w:rPr>
          <w:lang w:val="ro-RO"/>
        </w:rPr>
        <w:t>)</w:t>
      </w:r>
      <w:r w:rsidR="00CC2927" w:rsidRPr="0091155E">
        <w:rPr>
          <w:lang w:val="ro-RO"/>
        </w:rPr>
        <w:t xml:space="preserve"> şi s</w:t>
      </w:r>
      <w:r w:rsidR="00837A1E" w:rsidRPr="0091155E">
        <w:rPr>
          <w:lang w:val="ro-RO"/>
        </w:rPr>
        <w:t>e estimează o creştere de până la 1,56 miliarde în 2025 (</w:t>
      </w:r>
      <w:r w:rsidR="005F2D06" w:rsidRPr="0091155E">
        <w:rPr>
          <w:rStyle w:val="FootnoteReference"/>
          <w:vertAlign w:val="baseline"/>
          <w:lang w:val="ro-RO"/>
        </w:rPr>
        <w:footnoteReference w:id="9"/>
      </w:r>
      <w:r w:rsidR="00837A1E" w:rsidRPr="0091155E">
        <w:rPr>
          <w:lang w:val="ro-RO"/>
        </w:rPr>
        <w:t>).</w:t>
      </w:r>
    </w:p>
    <w:p w:rsidR="00775D21" w:rsidRPr="0091155E" w:rsidRDefault="005E4D62" w:rsidP="00775D21">
      <w:pPr>
        <w:spacing w:line="360" w:lineRule="auto"/>
        <w:jc w:val="both"/>
        <w:rPr>
          <w:lang w:val="ro-RO"/>
        </w:rPr>
      </w:pPr>
      <w:r w:rsidRPr="0091155E">
        <w:rPr>
          <w:lang w:val="ro-RO"/>
        </w:rPr>
        <w:tab/>
        <w:t>Între regiunile OMS, prevalenţa presiunii arteriale ridicate a fost cea mai înaltă în Africa, de 46% combinată pentru ambele sexe.</w:t>
      </w:r>
      <w:r w:rsidR="00D86384" w:rsidRPr="0091155E">
        <w:rPr>
          <w:lang w:val="ro-RO"/>
        </w:rPr>
        <w:t xml:space="preserve"> În această regiune</w:t>
      </w:r>
      <w:r w:rsidR="005F2D06" w:rsidRPr="0091155E">
        <w:rPr>
          <w:lang w:val="ro-RO"/>
        </w:rPr>
        <w:t>,</w:t>
      </w:r>
      <w:r w:rsidR="00D86384" w:rsidRPr="0091155E">
        <w:rPr>
          <w:lang w:val="ro-RO"/>
        </w:rPr>
        <w:t xml:space="preserve"> ratele de prevalenţă a HTA sunt ridicate la ambele sexe.</w:t>
      </w:r>
      <w:r w:rsidRPr="0091155E">
        <w:rPr>
          <w:lang w:val="ro-RO"/>
        </w:rPr>
        <w:t xml:space="preserve"> Cea mai redusă prevalenţă a HTA a fost notată în regiunea OMS a Americilor, de 35% pentru ambele sexe.  Bărbaţii </w:t>
      </w:r>
      <w:r w:rsidR="00D86384" w:rsidRPr="0091155E">
        <w:rPr>
          <w:lang w:val="ro-RO"/>
        </w:rPr>
        <w:t xml:space="preserve">din </w:t>
      </w:r>
      <w:r w:rsidR="00D86384" w:rsidRPr="0091155E">
        <w:rPr>
          <w:lang w:val="ro-RO"/>
        </w:rPr>
        <w:lastRenderedPageBreak/>
        <w:t>această regiune au o prevalenţă mai ridicată</w:t>
      </w:r>
      <w:r w:rsidR="00775D21" w:rsidRPr="0091155E">
        <w:rPr>
          <w:lang w:val="ro-RO"/>
        </w:rPr>
        <w:t>, 39%</w:t>
      </w:r>
      <w:r w:rsidR="00D86384" w:rsidRPr="0091155E">
        <w:rPr>
          <w:lang w:val="ro-RO"/>
        </w:rPr>
        <w:t xml:space="preserve"> comparativ cu femeile</w:t>
      </w:r>
      <w:r w:rsidR="00775D21" w:rsidRPr="0091155E">
        <w:rPr>
          <w:lang w:val="ro-RO"/>
        </w:rPr>
        <w:t>, 32%. În toate regiunile OMS bărbaţii au o prevalenţă uşor mai ridicată a presiunii arteriale elevate, dar diferenţa a fost semnificativ statistică doar în Regiunile Americilor şi Europei. (</w:t>
      </w:r>
      <w:r w:rsidR="005F2D06" w:rsidRPr="0091155E">
        <w:rPr>
          <w:rStyle w:val="FootnoteReference"/>
          <w:vertAlign w:val="baseline"/>
          <w:lang w:val="ro-RO"/>
        </w:rPr>
        <w:footnoteReference w:id="10"/>
      </w:r>
      <w:r w:rsidR="00775D21" w:rsidRPr="0091155E">
        <w:rPr>
          <w:lang w:val="ro-RO"/>
        </w:rPr>
        <w:t xml:space="preserve">). </w:t>
      </w:r>
    </w:p>
    <w:p w:rsidR="00EA39FF" w:rsidRPr="0091155E" w:rsidRDefault="00775D21" w:rsidP="004344AA">
      <w:pPr>
        <w:spacing w:line="360" w:lineRule="auto"/>
        <w:jc w:val="both"/>
        <w:rPr>
          <w:lang w:val="ro-RO"/>
        </w:rPr>
      </w:pPr>
      <w:r w:rsidRPr="0091155E">
        <w:rPr>
          <w:lang w:val="ro-RO"/>
        </w:rPr>
        <w:tab/>
      </w:r>
      <w:r w:rsidR="00B555EA" w:rsidRPr="0091155E">
        <w:rPr>
          <w:lang w:val="ro-RO"/>
        </w:rPr>
        <w:t xml:space="preserve">HTA afectează în mod disproporţionat ţările cu venituri mici şi mijlocii (2). Analiza prevalenţei HTA pe grupe de ţări în raport cu nivelul economic a relevat că aceasta este în mod constant ridicată în rândul ţărilor cu nivel economic scăzut, şi mediu, fiind în jur de 40% şi mai redusă în grupul ţărilor cu nivel economic crescut, în jur de 35%. Două treimi dintre cei cu HTA se situează în ţările în dezvoltare, iar boala cardiacă şi AVC se întâlnesc la persoane mai tinere în aceste ţări. </w:t>
      </w:r>
    </w:p>
    <w:p w:rsidR="00B555EA" w:rsidRPr="0091155E" w:rsidRDefault="00B555EA" w:rsidP="004344AA">
      <w:pPr>
        <w:spacing w:line="360" w:lineRule="auto"/>
        <w:jc w:val="both"/>
        <w:rPr>
          <w:lang w:val="ro-RO"/>
        </w:rPr>
      </w:pPr>
      <w:r w:rsidRPr="0091155E">
        <w:rPr>
          <w:lang w:val="ro-RO"/>
        </w:rPr>
        <w:tab/>
        <w:t>Bolile în relaţie cu presiunea arterială ridicată au un impact major asupra cheltuielilor de sănătate (</w:t>
      </w:r>
      <w:r w:rsidRPr="0091155E">
        <w:rPr>
          <w:rStyle w:val="FootnoteReference"/>
          <w:vertAlign w:val="baseline"/>
          <w:lang w:val="ro-RO"/>
        </w:rPr>
        <w:footnoteReference w:id="11"/>
      </w:r>
      <w:r w:rsidRPr="0091155E">
        <w:rPr>
          <w:lang w:val="ro-RO"/>
        </w:rPr>
        <w:t xml:space="preserve">). </w:t>
      </w:r>
      <w:r w:rsidR="001D4E55" w:rsidRPr="0091155E">
        <w:rPr>
          <w:lang w:val="ro-RO"/>
        </w:rPr>
        <w:t xml:space="preserve">Se estimează că 10% din cheltuielile pentru sănătate sunt în relaţie directă cu presiunea arterială ridicată şi complicaţiile ei. </w:t>
      </w:r>
    </w:p>
    <w:p w:rsidR="001D4E55" w:rsidRPr="0091155E" w:rsidRDefault="001D4E55" w:rsidP="004344AA">
      <w:pPr>
        <w:spacing w:line="360" w:lineRule="auto"/>
        <w:jc w:val="both"/>
        <w:rPr>
          <w:lang w:val="ro-RO"/>
        </w:rPr>
      </w:pPr>
      <w:r w:rsidRPr="0091155E">
        <w:rPr>
          <w:lang w:val="ro-RO"/>
        </w:rPr>
        <w:tab/>
        <w:t>Factorii de risc comportamental joacă un rol major în creşterea presiunii arteriale (</w:t>
      </w:r>
      <w:r w:rsidRPr="0091155E">
        <w:rPr>
          <w:rStyle w:val="FootnoteReference"/>
          <w:vertAlign w:val="baseline"/>
          <w:lang w:val="ro-RO"/>
        </w:rPr>
        <w:footnoteReference w:id="12"/>
      </w:r>
      <w:r w:rsidRPr="0091155E">
        <w:rPr>
          <w:lang w:val="ro-RO"/>
        </w:rPr>
        <w:t xml:space="preserve">). </w:t>
      </w:r>
    </w:p>
    <w:p w:rsidR="00B555EA" w:rsidRPr="0091155E" w:rsidRDefault="00B555EA" w:rsidP="004344AA">
      <w:pPr>
        <w:spacing w:line="360" w:lineRule="auto"/>
        <w:jc w:val="both"/>
        <w:rPr>
          <w:lang w:val="ro-RO"/>
        </w:rPr>
      </w:pPr>
      <w:r w:rsidRPr="0091155E">
        <w:rPr>
          <w:lang w:val="ro-RO"/>
        </w:rPr>
        <w:tab/>
      </w:r>
    </w:p>
    <w:p w:rsidR="00DF2A7B" w:rsidRPr="0091155E" w:rsidRDefault="00DF2A7B" w:rsidP="00422F1E">
      <w:pPr>
        <w:spacing w:line="360" w:lineRule="auto"/>
        <w:jc w:val="both"/>
        <w:rPr>
          <w:b/>
          <w:lang w:val="ro-RO"/>
        </w:rPr>
      </w:pPr>
      <w:r w:rsidRPr="0091155E">
        <w:rPr>
          <w:b/>
          <w:lang w:val="ro-RO"/>
        </w:rPr>
        <w:t>B. Naţionale</w:t>
      </w:r>
    </w:p>
    <w:p w:rsidR="005F402D" w:rsidRPr="0091155E" w:rsidRDefault="00D04D84" w:rsidP="00C32FB2">
      <w:pPr>
        <w:spacing w:line="360" w:lineRule="auto"/>
        <w:ind w:firstLine="720"/>
        <w:jc w:val="both"/>
        <w:rPr>
          <w:lang w:val="ro-RO"/>
        </w:rPr>
      </w:pPr>
      <w:r w:rsidRPr="0091155E">
        <w:rPr>
          <w:lang w:val="ro-RO"/>
        </w:rPr>
        <w:t xml:space="preserve">Datele din studiul </w:t>
      </w:r>
      <w:r w:rsidRPr="0091155E">
        <w:rPr>
          <w:b/>
          <w:lang w:val="ro-RO"/>
        </w:rPr>
        <w:t xml:space="preserve">SEPHAR </w:t>
      </w:r>
      <w:r w:rsidR="00666E19" w:rsidRPr="0091155E">
        <w:rPr>
          <w:b/>
          <w:lang w:val="ro-RO"/>
        </w:rPr>
        <w:t>I</w:t>
      </w:r>
      <w:r w:rsidR="00666E19" w:rsidRPr="0091155E">
        <w:rPr>
          <w:lang w:val="ro-RO"/>
        </w:rPr>
        <w:t xml:space="preserve"> </w:t>
      </w:r>
      <w:r w:rsidRPr="0091155E">
        <w:rPr>
          <w:lang w:val="ro-RO"/>
        </w:rPr>
        <w:t>(</w:t>
      </w:r>
      <w:r w:rsidR="00CA252E" w:rsidRPr="0091155E">
        <w:rPr>
          <w:rStyle w:val="FootnoteReference"/>
          <w:vertAlign w:val="baseline"/>
          <w:lang w:val="ro-RO"/>
        </w:rPr>
        <w:footnoteReference w:id="13"/>
      </w:r>
      <w:r w:rsidR="00710C87" w:rsidRPr="0091155E">
        <w:rPr>
          <w:lang w:val="ro-RO"/>
        </w:rPr>
        <w:t xml:space="preserve">), primul studiu care a vizat prevalenţa şi controlul HTA pe un eşantion reprezentativ pentru populaţia României </w:t>
      </w:r>
      <w:r w:rsidRPr="0091155E">
        <w:rPr>
          <w:lang w:val="ro-RO"/>
        </w:rPr>
        <w:t xml:space="preserve">au arătat o prevalenţă </w:t>
      </w:r>
      <w:r w:rsidR="00710C87" w:rsidRPr="0091155E">
        <w:rPr>
          <w:lang w:val="ro-RO"/>
        </w:rPr>
        <w:t xml:space="preserve">generală a HTA de 44,92%, mai mare la bărbaţi (50,17%) decât la femei (41,11%) şi în mediul rural (49,47%) comparativ cu cel urban (41,58%). </w:t>
      </w:r>
    </w:p>
    <w:p w:rsidR="00C32FB2" w:rsidRPr="0091155E" w:rsidRDefault="009C291E" w:rsidP="00C32FB2">
      <w:pPr>
        <w:spacing w:line="360" w:lineRule="auto"/>
        <w:ind w:firstLine="720"/>
        <w:jc w:val="both"/>
        <w:rPr>
          <w:lang w:val="ro-RO"/>
        </w:rPr>
      </w:pPr>
      <w:r w:rsidRPr="0091155E">
        <w:rPr>
          <w:lang w:val="ro-RO"/>
        </w:rPr>
        <w:t xml:space="preserve">In 2011 un al doilea studiu epidemiologic, </w:t>
      </w:r>
      <w:r w:rsidRPr="0091155E">
        <w:rPr>
          <w:b/>
          <w:lang w:val="ro-RO"/>
        </w:rPr>
        <w:t>SEPHAR II</w:t>
      </w:r>
      <w:r w:rsidRPr="0091155E">
        <w:rPr>
          <w:lang w:val="ro-RO"/>
        </w:rPr>
        <w:t xml:space="preserve"> </w:t>
      </w:r>
      <w:r w:rsidR="00C805B4" w:rsidRPr="0091155E">
        <w:rPr>
          <w:lang w:val="ro-RO"/>
        </w:rPr>
        <w:t>a fost iniţiat,</w:t>
      </w:r>
      <w:r w:rsidRPr="0091155E">
        <w:rPr>
          <w:lang w:val="ro-RO"/>
        </w:rPr>
        <w:t xml:space="preserve"> pentru o estimare mai acurată a prevalenţei factorilor de risc CV la populaţia adultă din România şi a tendinţelor (</w:t>
      </w:r>
      <w:r w:rsidRPr="0091155E">
        <w:rPr>
          <w:rStyle w:val="FootnoteReference"/>
          <w:vertAlign w:val="baseline"/>
          <w:lang w:val="ro-RO"/>
        </w:rPr>
        <w:footnoteReference w:id="14"/>
      </w:r>
      <w:r w:rsidRPr="0091155E">
        <w:rPr>
          <w:lang w:val="ro-RO"/>
        </w:rPr>
        <w:t>). Conform acestui studiu prevalenţa globală a HTA a fost de 40,4</w:t>
      </w:r>
      <w:r w:rsidR="00C32FB2" w:rsidRPr="0091155E">
        <w:rPr>
          <w:lang w:val="ro-RO"/>
        </w:rPr>
        <w:t xml:space="preserve">%. (54,9% femei). Prevalenţa HTA a fost mai mare în mediul urban (59,5%) faţă de rural (40,5%). Conform studiului SEPHAR II profilul pacientului român </w:t>
      </w:r>
      <w:r w:rsidR="00C32FB2" w:rsidRPr="0091155E">
        <w:rPr>
          <w:lang w:val="ro-RO"/>
        </w:rPr>
        <w:lastRenderedPageBreak/>
        <w:t>hipertensiv s-a schimbat</w:t>
      </w:r>
      <w:r w:rsidR="00614C74" w:rsidRPr="0091155E">
        <w:rPr>
          <w:lang w:val="ro-RO"/>
        </w:rPr>
        <w:t>, de la bărbat de vârstă medie, mai frecvent din mediul rural către femeie de vârstă medie, mai frecvent din mediul urban, profil similar cu cel observat în ţări ca Polonia, Croaţia, Turcia şi Spania  (</w:t>
      </w:r>
      <w:r w:rsidR="00614C74" w:rsidRPr="0091155E">
        <w:rPr>
          <w:rStyle w:val="FootnoteReference"/>
          <w:vertAlign w:val="baseline"/>
          <w:lang w:val="ro-RO"/>
        </w:rPr>
        <w:footnoteReference w:id="15"/>
      </w:r>
      <w:r w:rsidR="00614C74" w:rsidRPr="0091155E">
        <w:rPr>
          <w:lang w:val="ro-RO"/>
        </w:rPr>
        <w:t xml:space="preserve">, </w:t>
      </w:r>
      <w:r w:rsidR="00614C74" w:rsidRPr="0091155E">
        <w:rPr>
          <w:rStyle w:val="FootnoteReference"/>
          <w:vertAlign w:val="baseline"/>
          <w:lang w:val="ro-RO"/>
        </w:rPr>
        <w:footnoteReference w:id="16"/>
      </w:r>
      <w:r w:rsidR="00614C74" w:rsidRPr="0091155E">
        <w:rPr>
          <w:lang w:val="ro-RO"/>
        </w:rPr>
        <w:t xml:space="preserve">, </w:t>
      </w:r>
      <w:r w:rsidR="00614C74" w:rsidRPr="0091155E">
        <w:rPr>
          <w:rStyle w:val="FootnoteReference"/>
          <w:vertAlign w:val="baseline"/>
          <w:lang w:val="ro-RO"/>
        </w:rPr>
        <w:footnoteReference w:id="17"/>
      </w:r>
      <w:r w:rsidR="00614C74" w:rsidRPr="0091155E">
        <w:rPr>
          <w:lang w:val="ro-RO"/>
        </w:rPr>
        <w:t xml:space="preserve">, </w:t>
      </w:r>
      <w:r w:rsidR="00614C74" w:rsidRPr="0091155E">
        <w:rPr>
          <w:rStyle w:val="FootnoteReference"/>
          <w:vertAlign w:val="baseline"/>
          <w:lang w:val="ro-RO"/>
        </w:rPr>
        <w:footnoteReference w:id="18"/>
      </w:r>
      <w:r w:rsidR="00614C74" w:rsidRPr="0091155E">
        <w:rPr>
          <w:lang w:val="ro-RO"/>
        </w:rPr>
        <w:t xml:space="preserve">).  </w:t>
      </w:r>
    </w:p>
    <w:p w:rsidR="00614C74" w:rsidRPr="0091155E" w:rsidRDefault="00C805B4" w:rsidP="00666E19">
      <w:pPr>
        <w:spacing w:line="360" w:lineRule="auto"/>
        <w:ind w:firstLine="720"/>
        <w:jc w:val="both"/>
        <w:rPr>
          <w:b/>
          <w:lang w:val="ro-RO"/>
        </w:rPr>
      </w:pPr>
      <w:r w:rsidRPr="0091155E">
        <w:rPr>
          <w:lang w:val="ro-RO"/>
        </w:rPr>
        <w:t xml:space="preserve">Într-un interval de 7 ani, a fost înregistrată o reducere a prevalenţei hipertensiunii arteriale cu 10,7% şi o creştere cu 57% a gradului de conştientizare şi cu 52% a tratamentului HTA, ceea ce a condus </w:t>
      </w:r>
      <w:r w:rsidR="00666E19" w:rsidRPr="0091155E">
        <w:rPr>
          <w:lang w:val="ro-RO"/>
        </w:rPr>
        <w:t>aproape</w:t>
      </w:r>
      <w:r w:rsidRPr="0091155E">
        <w:rPr>
          <w:lang w:val="ro-RO"/>
        </w:rPr>
        <w:t xml:space="preserve"> la dublarea ratei de control a HTA la pacienţi </w:t>
      </w:r>
      <w:r w:rsidRPr="0091155E">
        <w:rPr>
          <w:rStyle w:val="FootnoteReference"/>
          <w:lang w:val="ro-RO"/>
        </w:rPr>
        <w:footnoteReference w:id="19"/>
      </w:r>
      <w:r w:rsidRPr="0091155E">
        <w:rPr>
          <w:lang w:val="ro-RO"/>
        </w:rPr>
        <w:t xml:space="preserve"> </w:t>
      </w:r>
      <w:r w:rsidR="00127DAC" w:rsidRPr="0091155E">
        <w:rPr>
          <w:lang w:val="ro-RO"/>
        </w:rPr>
        <w:t>.</w:t>
      </w:r>
    </w:p>
    <w:p w:rsidR="004F3C33" w:rsidRPr="004F3C33" w:rsidRDefault="004F3C33" w:rsidP="004F3C33">
      <w:pPr>
        <w:pStyle w:val="NormalWeb"/>
        <w:spacing w:before="0" w:beforeAutospacing="0" w:after="0" w:afterAutospacing="0" w:line="360" w:lineRule="auto"/>
        <w:jc w:val="both"/>
        <w:textAlignment w:val="baseline"/>
        <w:rPr>
          <w:lang w:val="ro-RO"/>
        </w:rPr>
      </w:pPr>
      <w:r>
        <w:rPr>
          <w:lang w:val="ro-RO"/>
        </w:rPr>
        <w:tab/>
      </w:r>
      <w:r w:rsidRPr="004F3C33">
        <w:rPr>
          <w:lang w:val="ro-RO"/>
        </w:rPr>
        <w:t xml:space="preserve">În </w:t>
      </w:r>
      <w:r>
        <w:rPr>
          <w:lang w:val="ro-RO"/>
        </w:rPr>
        <w:t>anul 2016 a fost derulat studiul</w:t>
      </w:r>
      <w:r w:rsidRPr="004F3C33">
        <w:rPr>
          <w:rStyle w:val="Strong"/>
          <w:bdr w:val="none" w:sz="0" w:space="0" w:color="auto" w:frame="1"/>
          <w:lang w:val="ro-RO"/>
        </w:rPr>
        <w:t xml:space="preserve"> SEPHAR III</w:t>
      </w:r>
      <w:r w:rsidRPr="004F3C33">
        <w:rPr>
          <w:lang w:val="ro-RO"/>
        </w:rPr>
        <w:t>,</w:t>
      </w:r>
      <w:r>
        <w:rPr>
          <w:lang w:val="ro-RO"/>
        </w:rPr>
        <w:t xml:space="preserve"> care a relevat o prevalență a</w:t>
      </w:r>
      <w:r w:rsidRPr="004F3C33">
        <w:rPr>
          <w:rStyle w:val="apple-converted-space"/>
          <w:lang w:val="ro-RO"/>
        </w:rPr>
        <w:t> </w:t>
      </w:r>
      <w:r w:rsidRPr="004F3C33">
        <w:rPr>
          <w:rStyle w:val="Strong"/>
          <w:b w:val="0"/>
          <w:bdr w:val="none" w:sz="0" w:space="0" w:color="auto" w:frame="1"/>
          <w:lang w:val="ro-RO"/>
        </w:rPr>
        <w:t>hipertensiun</w:t>
      </w:r>
      <w:r>
        <w:rPr>
          <w:rStyle w:val="Strong"/>
          <w:b w:val="0"/>
          <w:bdr w:val="none" w:sz="0" w:space="0" w:color="auto" w:frame="1"/>
          <w:lang w:val="ro-RO"/>
        </w:rPr>
        <w:t>ii</w:t>
      </w:r>
      <w:r w:rsidRPr="004F3C33">
        <w:rPr>
          <w:rStyle w:val="Strong"/>
          <w:b w:val="0"/>
          <w:bdr w:val="none" w:sz="0" w:space="0" w:color="auto" w:frame="1"/>
          <w:lang w:val="ro-RO"/>
        </w:rPr>
        <w:t xml:space="preserve"> arterial</w:t>
      </w:r>
      <w:r>
        <w:rPr>
          <w:rStyle w:val="Strong"/>
          <w:b w:val="0"/>
          <w:bdr w:val="none" w:sz="0" w:space="0" w:color="auto" w:frame="1"/>
          <w:lang w:val="ro-RO"/>
        </w:rPr>
        <w:t>e de</w:t>
      </w:r>
      <w:r w:rsidRPr="004F3C33">
        <w:rPr>
          <w:rStyle w:val="apple-converted-space"/>
          <w:lang w:val="ro-RO"/>
        </w:rPr>
        <w:t> </w:t>
      </w:r>
      <w:r w:rsidRPr="004F3C33">
        <w:rPr>
          <w:rStyle w:val="Strong"/>
          <w:bdr w:val="none" w:sz="0" w:space="0" w:color="auto" w:frame="1"/>
          <w:lang w:val="ro-RO"/>
        </w:rPr>
        <w:t xml:space="preserve">45,1% </w:t>
      </w:r>
      <w:r>
        <w:rPr>
          <w:rStyle w:val="Strong"/>
          <w:bdr w:val="none" w:sz="0" w:space="0" w:color="auto" w:frame="1"/>
          <w:lang w:val="ro-RO"/>
        </w:rPr>
        <w:t>în rândul</w:t>
      </w:r>
      <w:r w:rsidRPr="004F3C33">
        <w:rPr>
          <w:rStyle w:val="Strong"/>
          <w:bdr w:val="none" w:sz="0" w:space="0" w:color="auto" w:frame="1"/>
          <w:lang w:val="ro-RO"/>
        </w:rPr>
        <w:t xml:space="preserve"> populaţi</w:t>
      </w:r>
      <w:r>
        <w:rPr>
          <w:rStyle w:val="Strong"/>
          <w:bdr w:val="none" w:sz="0" w:space="0" w:color="auto" w:frame="1"/>
          <w:lang w:val="ro-RO"/>
        </w:rPr>
        <w:t>ei</w:t>
      </w:r>
      <w:r w:rsidRPr="004F3C33">
        <w:rPr>
          <w:rStyle w:val="Strong"/>
          <w:bdr w:val="none" w:sz="0" w:space="0" w:color="auto" w:frame="1"/>
          <w:lang w:val="ro-RO"/>
        </w:rPr>
        <w:t xml:space="preserve"> adult</w:t>
      </w:r>
      <w:r>
        <w:rPr>
          <w:rStyle w:val="Strong"/>
          <w:bdr w:val="none" w:sz="0" w:space="0" w:color="auto" w:frame="1"/>
          <w:lang w:val="ro-RO"/>
        </w:rPr>
        <w:t xml:space="preserve">e. </w:t>
      </w:r>
      <w:r w:rsidRPr="004F3C33">
        <w:rPr>
          <w:lang w:val="ro-RO"/>
        </w:rPr>
        <w:t>Raportat la populația României, înseamnă că în 2016, un estimat de circa</w:t>
      </w:r>
      <w:r w:rsidRPr="004F3C33">
        <w:rPr>
          <w:rStyle w:val="apple-converted-space"/>
          <w:lang w:val="ro-RO"/>
        </w:rPr>
        <w:t> </w:t>
      </w:r>
      <w:r w:rsidRPr="004F3C33">
        <w:rPr>
          <w:rStyle w:val="Strong"/>
          <w:bdr w:val="none" w:sz="0" w:space="0" w:color="auto" w:frame="1"/>
          <w:lang w:val="ro-RO"/>
        </w:rPr>
        <w:t>7,4 milioane de persoane</w:t>
      </w:r>
      <w:r w:rsidRPr="004F3C33">
        <w:rPr>
          <w:rStyle w:val="apple-converted-space"/>
          <w:lang w:val="ro-RO"/>
        </w:rPr>
        <w:t> </w:t>
      </w:r>
      <w:r>
        <w:rPr>
          <w:rStyle w:val="apple-converted-space"/>
          <w:lang w:val="ro-RO"/>
        </w:rPr>
        <w:t>aveau</w:t>
      </w:r>
      <w:r w:rsidRPr="004F3C33">
        <w:rPr>
          <w:rStyle w:val="Strong"/>
          <w:bdr w:val="none" w:sz="0" w:space="0" w:color="auto" w:frame="1"/>
          <w:lang w:val="ro-RO"/>
        </w:rPr>
        <w:t xml:space="preserve"> hipertensiune</w:t>
      </w:r>
      <w:r>
        <w:rPr>
          <w:rStyle w:val="apple-converted-space"/>
          <w:lang w:val="ro-RO"/>
        </w:rPr>
        <w:t xml:space="preserve"> </w:t>
      </w:r>
      <w:r w:rsidRPr="004F3C33">
        <w:rPr>
          <w:rStyle w:val="apple-converted-space"/>
          <w:b/>
          <w:lang w:val="ro-RO"/>
        </w:rPr>
        <w:t>arterială</w:t>
      </w:r>
      <w:r>
        <w:rPr>
          <w:lang w:val="ro-RO"/>
        </w:rPr>
        <w:t xml:space="preserve"> </w:t>
      </w:r>
      <w:r w:rsidRPr="004F3C33">
        <w:rPr>
          <w:lang w:val="ro-RO"/>
        </w:rPr>
        <w:t>– principalul factor de risc pentru bolile cardiovasculare, cele responsabile de cele mai multe decese atât global, cât și în țara noastră.</w:t>
      </w:r>
      <w:r>
        <w:rPr>
          <w:lang w:val="ro-RO"/>
        </w:rPr>
        <w:t xml:space="preserve"> </w:t>
      </w:r>
      <w:r w:rsidRPr="004F3C33">
        <w:rPr>
          <w:lang w:val="ro-RO"/>
        </w:rPr>
        <w:t>Cu toate acestea,</w:t>
      </w:r>
      <w:r w:rsidRPr="004F3C33">
        <w:rPr>
          <w:rStyle w:val="apple-converted-space"/>
          <w:lang w:val="ro-RO"/>
        </w:rPr>
        <w:t> </w:t>
      </w:r>
      <w:r>
        <w:rPr>
          <w:rStyle w:val="apple-converted-space"/>
          <w:lang w:val="ro-RO"/>
        </w:rPr>
        <w:t xml:space="preserve">conform studiului </w:t>
      </w:r>
      <w:r w:rsidRPr="004F3C33">
        <w:rPr>
          <w:rStyle w:val="Strong"/>
          <w:bdr w:val="none" w:sz="0" w:space="0" w:color="auto" w:frame="1"/>
          <w:lang w:val="ro-RO"/>
        </w:rPr>
        <w:t>doar 80,9% dintre adulţii hipertensivi știu că suferă de această boală</w:t>
      </w:r>
      <w:r w:rsidRPr="004F3C33">
        <w:rPr>
          <w:lang w:val="ro-RO"/>
        </w:rPr>
        <w:t>, în timp ce restul de 19,1% au fost diagnosticaţi cu ocazia studiului SEPHAR III. Aceasta înseamnă că</w:t>
      </w:r>
      <w:r w:rsidRPr="004F3C33">
        <w:rPr>
          <w:rStyle w:val="Strong"/>
          <w:bdr w:val="none" w:sz="0" w:space="0" w:color="auto" w:frame="1"/>
          <w:lang w:val="ro-RO"/>
        </w:rPr>
        <w:t>aproximativ 1 din 5 români nu știe că are hipertensiune arterială,</w:t>
      </w:r>
      <w:r w:rsidRPr="004F3C33">
        <w:rPr>
          <w:rStyle w:val="apple-converted-space"/>
          <w:lang w:val="ro-RO"/>
        </w:rPr>
        <w:t> </w:t>
      </w:r>
      <w:r w:rsidRPr="004F3C33">
        <w:rPr>
          <w:lang w:val="ro-RO"/>
        </w:rPr>
        <w:t>fiind expus unor riscuri importante în ceea ce privește starea de sănătate, generate de lipsa unei îngrijiri adecvate, care să asigure controlul eficient al afecțiuni.</w:t>
      </w:r>
    </w:p>
    <w:p w:rsidR="004F3C33" w:rsidRPr="004F3C33" w:rsidRDefault="004F3C33" w:rsidP="004F3C33">
      <w:pPr>
        <w:pStyle w:val="NormalWeb"/>
        <w:spacing w:before="0" w:beforeAutospacing="0" w:after="0" w:afterAutospacing="0" w:line="360" w:lineRule="auto"/>
        <w:jc w:val="both"/>
        <w:textAlignment w:val="baseline"/>
        <w:rPr>
          <w:lang w:val="ro-RO"/>
        </w:rPr>
      </w:pPr>
      <w:r>
        <w:rPr>
          <w:lang w:val="ro-RO"/>
        </w:rPr>
        <w:tab/>
      </w:r>
      <w:r w:rsidRPr="004F3C33">
        <w:rPr>
          <w:lang w:val="ro-RO"/>
        </w:rPr>
        <w:t>Totuși, în ultimii 11 ani, rata de cunoaştere a hipertensiunii arteriale a cunoscut o îmbunătățire majoră, crescând succesiv, față de rezultatele obținute de celelalte două studii SEPHAR. Dacă în anul 2005, doar 44,3% dintre persoanele hipertensive aveau cunoscută hipertensiunea arterială,</w:t>
      </w:r>
      <w:r w:rsidRPr="004F3C33">
        <w:rPr>
          <w:rStyle w:val="apple-converted-space"/>
          <w:lang w:val="ro-RO"/>
        </w:rPr>
        <w:t> </w:t>
      </w:r>
      <w:r w:rsidRPr="004F3C33">
        <w:rPr>
          <w:rStyle w:val="Strong"/>
          <w:bdr w:val="none" w:sz="0" w:space="0" w:color="auto" w:frame="1"/>
          <w:lang w:val="ro-RO"/>
        </w:rPr>
        <w:t>în 2016, procentul acestora a ajuns la 80.9%</w:t>
      </w:r>
      <w:r w:rsidRPr="004F3C33">
        <w:rPr>
          <w:lang w:val="ro-RO"/>
        </w:rPr>
        <w:t>, în următorii ani așteptându-se să crească la</w:t>
      </w:r>
      <w:r w:rsidRPr="004F3C33">
        <w:rPr>
          <w:rStyle w:val="apple-converted-space"/>
          <w:lang w:val="ro-RO"/>
        </w:rPr>
        <w:t> </w:t>
      </w:r>
      <w:r w:rsidRPr="004F3C33">
        <w:rPr>
          <w:rStyle w:val="Strong"/>
          <w:bdr w:val="none" w:sz="0" w:space="0" w:color="auto" w:frame="1"/>
          <w:lang w:val="ro-RO"/>
        </w:rPr>
        <w:t>96,2%,</w:t>
      </w:r>
      <w:r w:rsidRPr="004F3C33">
        <w:rPr>
          <w:rStyle w:val="apple-converted-space"/>
          <w:lang w:val="ro-RO"/>
        </w:rPr>
        <w:t> </w:t>
      </w:r>
      <w:r w:rsidRPr="004F3C33">
        <w:rPr>
          <w:lang w:val="ro-RO"/>
        </w:rPr>
        <w:t>ținând cont de impactul pozitiv al campaniilor derulate în ultimii ani de către Societatea Română de Hipertensiune şi nu numai.</w:t>
      </w:r>
    </w:p>
    <w:p w:rsidR="004F3C33" w:rsidRPr="004F3C33" w:rsidRDefault="004F3C33" w:rsidP="004F3C33">
      <w:pPr>
        <w:pStyle w:val="NormalWeb"/>
        <w:spacing w:before="0" w:beforeAutospacing="0" w:after="0" w:afterAutospacing="0" w:line="360" w:lineRule="auto"/>
        <w:jc w:val="both"/>
        <w:textAlignment w:val="baseline"/>
        <w:rPr>
          <w:lang w:val="ro-RO"/>
        </w:rPr>
      </w:pPr>
      <w:r>
        <w:rPr>
          <w:lang w:val="ro-RO"/>
        </w:rPr>
        <w:lastRenderedPageBreak/>
        <w:tab/>
      </w:r>
      <w:r w:rsidRPr="004F3C33">
        <w:rPr>
          <w:lang w:val="ro-RO"/>
        </w:rPr>
        <w:t>Aceeaşi tendinţă de creştere poate fi regăsită şi la nivelul persoanelor care urmează un tratament pentru hipertensiunea arterială, arată rezultatele SEPHAR III. Dacă,</w:t>
      </w:r>
      <w:r w:rsidRPr="004F3C33">
        <w:rPr>
          <w:rStyle w:val="apple-converted-space"/>
          <w:lang w:val="ro-RO"/>
        </w:rPr>
        <w:t> </w:t>
      </w:r>
      <w:r w:rsidRPr="004F3C33">
        <w:rPr>
          <w:rStyle w:val="Strong"/>
          <w:bdr w:val="none" w:sz="0" w:space="0" w:color="auto" w:frame="1"/>
          <w:lang w:val="ro-RO"/>
        </w:rPr>
        <w:t>în 2005, numai 38.9% dintre persoanele hipertensive urmau un tratament</w:t>
      </w:r>
      <w:r w:rsidRPr="004F3C33">
        <w:rPr>
          <w:lang w:val="ro-RO"/>
        </w:rPr>
        <w:t>, în 2016, procentul acestora a crescut la</w:t>
      </w:r>
      <w:r w:rsidRPr="004F3C33">
        <w:rPr>
          <w:rStyle w:val="apple-converted-space"/>
          <w:lang w:val="ro-RO"/>
        </w:rPr>
        <w:t> </w:t>
      </w:r>
      <w:r w:rsidRPr="004F3C33">
        <w:rPr>
          <w:rStyle w:val="Strong"/>
          <w:bdr w:val="none" w:sz="0" w:space="0" w:color="auto" w:frame="1"/>
          <w:lang w:val="ro-RO"/>
        </w:rPr>
        <w:t>75,2%</w:t>
      </w:r>
      <w:r w:rsidRPr="004F3C33">
        <w:rPr>
          <w:rStyle w:val="apple-converted-space"/>
          <w:lang w:val="ro-RO"/>
        </w:rPr>
        <w:t> </w:t>
      </w:r>
      <w:r w:rsidRPr="004F3C33">
        <w:rPr>
          <w:lang w:val="ro-RO"/>
        </w:rPr>
        <w:t>şi se preconizează că va ajunge la</w:t>
      </w:r>
      <w:r w:rsidRPr="004F3C33">
        <w:rPr>
          <w:rStyle w:val="apple-converted-space"/>
          <w:lang w:val="ro-RO"/>
        </w:rPr>
        <w:t> </w:t>
      </w:r>
      <w:r w:rsidRPr="004F3C33">
        <w:rPr>
          <w:rStyle w:val="Strong"/>
          <w:bdr w:val="none" w:sz="0" w:space="0" w:color="auto" w:frame="1"/>
          <w:lang w:val="ro-RO"/>
        </w:rPr>
        <w:t>91,2% în anul 2020</w:t>
      </w:r>
      <w:r w:rsidRPr="004F3C33">
        <w:rPr>
          <w:lang w:val="ro-RO"/>
        </w:rPr>
        <w:t>.</w:t>
      </w:r>
    </w:p>
    <w:p w:rsidR="004F3C33" w:rsidRPr="004F3C33" w:rsidRDefault="004F3C33" w:rsidP="004F3C33">
      <w:pPr>
        <w:pStyle w:val="NormalWeb"/>
        <w:spacing w:before="0" w:beforeAutospacing="0" w:after="0" w:afterAutospacing="0" w:line="360" w:lineRule="auto"/>
        <w:jc w:val="both"/>
        <w:textAlignment w:val="baseline"/>
        <w:rPr>
          <w:lang w:val="ro-RO"/>
        </w:rPr>
      </w:pPr>
      <w:r>
        <w:rPr>
          <w:lang w:val="ro-RO"/>
        </w:rPr>
        <w:tab/>
      </w:r>
      <w:r w:rsidRPr="004F3C33">
        <w:rPr>
          <w:lang w:val="ro-RO"/>
        </w:rPr>
        <w:t>De asemenea, şi numărul persoanelor hipertensive aflate sub</w:t>
      </w:r>
      <w:r w:rsidRPr="004F3C33">
        <w:rPr>
          <w:rStyle w:val="apple-converted-space"/>
          <w:lang w:val="ro-RO"/>
        </w:rPr>
        <w:t> </w:t>
      </w:r>
      <w:r w:rsidRPr="004F3C33">
        <w:rPr>
          <w:rStyle w:val="Strong"/>
          <w:bdr w:val="none" w:sz="0" w:space="0" w:color="auto" w:frame="1"/>
          <w:lang w:val="ro-RO"/>
        </w:rPr>
        <w:t>control terapeutic</w:t>
      </w:r>
      <w:r w:rsidRPr="004F3C33">
        <w:rPr>
          <w:rStyle w:val="apple-converted-space"/>
          <w:lang w:val="ro-RO"/>
        </w:rPr>
        <w:t> </w:t>
      </w:r>
      <w:r w:rsidRPr="004F3C33">
        <w:rPr>
          <w:lang w:val="ro-RO"/>
        </w:rPr>
        <w:t>este în continuă creştere. În anul</w:t>
      </w:r>
      <w:r w:rsidRPr="004F3C33">
        <w:rPr>
          <w:rStyle w:val="apple-converted-space"/>
          <w:lang w:val="ro-RO"/>
        </w:rPr>
        <w:t> </w:t>
      </w:r>
      <w:r w:rsidRPr="004F3C33">
        <w:rPr>
          <w:rStyle w:val="Strong"/>
          <w:bdr w:val="none" w:sz="0" w:space="0" w:color="auto" w:frame="1"/>
          <w:lang w:val="ro-RO"/>
        </w:rPr>
        <w:t>2005</w:t>
      </w:r>
      <w:r w:rsidRPr="004F3C33">
        <w:rPr>
          <w:lang w:val="ro-RO"/>
        </w:rPr>
        <w:t>, procentul acestora era de</w:t>
      </w:r>
      <w:r w:rsidRPr="004F3C33">
        <w:rPr>
          <w:rStyle w:val="apple-converted-space"/>
          <w:lang w:val="ro-RO"/>
        </w:rPr>
        <w:t> </w:t>
      </w:r>
      <w:r w:rsidRPr="004F3C33">
        <w:rPr>
          <w:rStyle w:val="Strong"/>
          <w:bdr w:val="none" w:sz="0" w:space="0" w:color="auto" w:frame="1"/>
          <w:lang w:val="ro-RO"/>
        </w:rPr>
        <w:t>19,9%</w:t>
      </w:r>
      <w:r w:rsidRPr="004F3C33">
        <w:rPr>
          <w:lang w:val="ro-RO"/>
        </w:rPr>
        <w:t>, în timp ce, în</w:t>
      </w:r>
      <w:r w:rsidRPr="004F3C33">
        <w:rPr>
          <w:rStyle w:val="apple-converted-space"/>
          <w:lang w:val="ro-RO"/>
        </w:rPr>
        <w:t> </w:t>
      </w:r>
      <w:r w:rsidRPr="004F3C33">
        <w:rPr>
          <w:rStyle w:val="Strong"/>
          <w:bdr w:val="none" w:sz="0" w:space="0" w:color="auto" w:frame="1"/>
          <w:lang w:val="ro-RO"/>
        </w:rPr>
        <w:t>2016</w:t>
      </w:r>
      <w:r w:rsidRPr="004F3C33">
        <w:rPr>
          <w:lang w:val="ro-RO"/>
        </w:rPr>
        <w:t>, procentul a crescut la</w:t>
      </w:r>
      <w:r w:rsidRPr="004F3C33">
        <w:rPr>
          <w:rStyle w:val="apple-converted-space"/>
          <w:lang w:val="ro-RO"/>
        </w:rPr>
        <w:t> </w:t>
      </w:r>
      <w:r w:rsidRPr="004F3C33">
        <w:rPr>
          <w:rStyle w:val="Strong"/>
          <w:bdr w:val="none" w:sz="0" w:space="0" w:color="auto" w:frame="1"/>
          <w:lang w:val="ro-RO"/>
        </w:rPr>
        <w:t>30,8%</w:t>
      </w:r>
      <w:r w:rsidRPr="004F3C33">
        <w:rPr>
          <w:lang w:val="ro-RO"/>
        </w:rPr>
        <w:t>, aşteptându-se ca, în anul</w:t>
      </w:r>
      <w:r w:rsidR="00A66CD1">
        <w:rPr>
          <w:lang w:val="ro-RO"/>
        </w:rPr>
        <w:t xml:space="preserve"> </w:t>
      </w:r>
      <w:r w:rsidRPr="004F3C33">
        <w:rPr>
          <w:rStyle w:val="Strong"/>
          <w:bdr w:val="none" w:sz="0" w:space="0" w:color="auto" w:frame="1"/>
          <w:lang w:val="ro-RO"/>
        </w:rPr>
        <w:t>2020, rata de control terapeutic să fie de 36,6%.</w:t>
      </w:r>
    </w:p>
    <w:p w:rsidR="004F3C33" w:rsidRPr="004F3C33" w:rsidRDefault="004F3C33" w:rsidP="004F3C33">
      <w:pPr>
        <w:pStyle w:val="NormalWeb"/>
        <w:spacing w:before="0" w:beforeAutospacing="0" w:after="0" w:afterAutospacing="0" w:line="360" w:lineRule="auto"/>
        <w:jc w:val="both"/>
        <w:textAlignment w:val="baseline"/>
        <w:rPr>
          <w:lang w:val="ro-RO"/>
        </w:rPr>
      </w:pPr>
      <w:r>
        <w:rPr>
          <w:lang w:val="ro-RO"/>
        </w:rPr>
        <w:tab/>
      </w:r>
      <w:r w:rsidRPr="004F3C33">
        <w:rPr>
          <w:lang w:val="ro-RO"/>
        </w:rPr>
        <w:t>În ciuda perspectivelor pozitive în ceea ce privește diagnosticarea hipertensiunii arteriale, persoanele aflate sub tratament sau controlul afecțiunii, rezultate studiului SEPHAR III arată că factorii de risc cardiovascular rămân o problemă critică. Dintre aceștia, diabetul zaharat și dislipidemiile generează cele mai multe îngrijorări, dat fiind că prevalența celor două afecţiuni este</w:t>
      </w:r>
      <w:r w:rsidRPr="004F3C33">
        <w:rPr>
          <w:rStyle w:val="apple-converted-space"/>
          <w:lang w:val="ro-RO"/>
        </w:rPr>
        <w:t> </w:t>
      </w:r>
      <w:r w:rsidRPr="004F3C33">
        <w:rPr>
          <w:rStyle w:val="Strong"/>
          <w:bdr w:val="none" w:sz="0" w:space="0" w:color="auto" w:frame="1"/>
          <w:lang w:val="ro-RO"/>
        </w:rPr>
        <w:t>de două ori mai ridicată</w:t>
      </w:r>
      <w:r w:rsidRPr="004F3C33">
        <w:rPr>
          <w:rStyle w:val="apple-converted-space"/>
          <w:lang w:val="ro-RO"/>
        </w:rPr>
        <w:t> </w:t>
      </w:r>
      <w:r w:rsidRPr="004F3C33">
        <w:rPr>
          <w:lang w:val="ro-RO"/>
        </w:rPr>
        <w:t>decât în 2006, fapt care creşte riscul de apariţie a complicaţiilor. Astfel, studiul SEPHAR III a identificat o prevalență de 12.2% a diabetului zaharat, în timp ce procentul persoanelor cu dislipidemie se situează la 73.2%, la nivel global și la 77.8% în rândul hipertensivilor.</w:t>
      </w:r>
    </w:p>
    <w:p w:rsidR="004F3C33" w:rsidRPr="004F3C33" w:rsidRDefault="004F3C33" w:rsidP="004F3C33">
      <w:pPr>
        <w:pStyle w:val="NormalWeb"/>
        <w:spacing w:before="0" w:beforeAutospacing="0" w:after="0" w:afterAutospacing="0" w:line="360" w:lineRule="auto"/>
        <w:jc w:val="both"/>
        <w:textAlignment w:val="baseline"/>
        <w:rPr>
          <w:lang w:val="ro-RO"/>
        </w:rPr>
      </w:pPr>
      <w:r>
        <w:rPr>
          <w:lang w:val="ro-RO"/>
        </w:rPr>
        <w:tab/>
      </w:r>
      <w:r w:rsidRPr="004F3C33">
        <w:rPr>
          <w:lang w:val="ro-RO"/>
        </w:rPr>
        <w:t>„România rămâne în topul ţărilor cu risc cardiovascular ridicat, iar rezultatele SEPHAR III confirmă, încă o dată, că</w:t>
      </w:r>
      <w:r w:rsidRPr="004F3C33">
        <w:rPr>
          <w:rStyle w:val="apple-converted-space"/>
          <w:lang w:val="ro-RO"/>
        </w:rPr>
        <w:t> </w:t>
      </w:r>
      <w:r w:rsidRPr="004F3C33">
        <w:rPr>
          <w:rStyle w:val="Strong"/>
          <w:bdr w:val="none" w:sz="0" w:space="0" w:color="auto" w:frame="1"/>
          <w:lang w:val="ro-RO"/>
        </w:rPr>
        <w:t>hipertensiunea arterială, alături de ceilalți factori de risc cardiovascular reprezintă probleme majore la nivelul sănătății populaționale.</w:t>
      </w:r>
      <w:r w:rsidRPr="004F3C33">
        <w:rPr>
          <w:rStyle w:val="apple-converted-space"/>
          <w:lang w:val="ro-RO"/>
        </w:rPr>
        <w:t> </w:t>
      </w:r>
      <w:r w:rsidRPr="004F3C33">
        <w:rPr>
          <w:lang w:val="ro-RO"/>
        </w:rPr>
        <w:t>Ne bucură, totuşi, să vedem că numărul persoanelor care au hipertensiune arterială și au fost diagnosticate, precum şi al celor aflate sub tratament şi sub control terapeutic creşte de la an la an. Eforturile noastre se concentrează pe conceperea şi implementarea unor programe de prevenţie, diagnosticare precoce şi control pe termen lung.”, a declarat</w:t>
      </w:r>
      <w:r w:rsidRPr="004F3C33">
        <w:rPr>
          <w:rStyle w:val="apple-converted-space"/>
          <w:lang w:val="ro-RO"/>
        </w:rPr>
        <w:t> </w:t>
      </w:r>
      <w:r w:rsidRPr="004F3C33">
        <w:rPr>
          <w:rStyle w:val="Strong"/>
          <w:bdr w:val="none" w:sz="0" w:space="0" w:color="auto" w:frame="1"/>
          <w:lang w:val="ro-RO"/>
        </w:rPr>
        <w:t>Prof. Dr. Maria Dorobanţu, preşedintele Societăţii Române de Hipertensiune şi coordonatorul studiului SEPHAR III.</w:t>
      </w:r>
    </w:p>
    <w:p w:rsidR="004F3C33" w:rsidRPr="004F3C33" w:rsidRDefault="004F3C33" w:rsidP="00BC353C">
      <w:pPr>
        <w:spacing w:line="360" w:lineRule="auto"/>
        <w:jc w:val="both"/>
        <w:rPr>
          <w:b/>
          <w:lang w:val="ro-RO"/>
        </w:rPr>
      </w:pPr>
    </w:p>
    <w:p w:rsidR="00BC353C" w:rsidRPr="004F3C33" w:rsidRDefault="00BC353C" w:rsidP="00BC353C">
      <w:pPr>
        <w:spacing w:line="360" w:lineRule="auto"/>
        <w:jc w:val="both"/>
        <w:rPr>
          <w:lang w:val="ro-RO"/>
        </w:rPr>
      </w:pPr>
      <w:r w:rsidRPr="004F3C33">
        <w:rPr>
          <w:b/>
          <w:lang w:val="ro-RO"/>
        </w:rPr>
        <w:t>II. Rezultate relevante din studii</w:t>
      </w:r>
    </w:p>
    <w:p w:rsidR="00A518EF" w:rsidRPr="0091155E" w:rsidRDefault="00A518EF" w:rsidP="003E7A4E">
      <w:pPr>
        <w:numPr>
          <w:ilvl w:val="0"/>
          <w:numId w:val="19"/>
        </w:numPr>
        <w:spacing w:line="360" w:lineRule="auto"/>
        <w:jc w:val="both"/>
        <w:rPr>
          <w:lang w:val="ro-RO"/>
        </w:rPr>
      </w:pPr>
      <w:r w:rsidRPr="004F3C33">
        <w:rPr>
          <w:lang w:val="ro-RO"/>
        </w:rPr>
        <w:t xml:space="preserve">Un studiu </w:t>
      </w:r>
      <w:r w:rsidR="00110857" w:rsidRPr="004F3C33">
        <w:rPr>
          <w:lang w:val="ro-RO"/>
        </w:rPr>
        <w:t xml:space="preserve">din 2003 </w:t>
      </w:r>
      <w:r w:rsidRPr="004F3C33">
        <w:rPr>
          <w:lang w:val="ro-RO"/>
        </w:rPr>
        <w:t>care a vizat nivelele presiunii arteriale şi hipertensiunea în 6 ţări Europene, Canada şi SUA (</w:t>
      </w:r>
      <w:r w:rsidR="00CA252E" w:rsidRPr="004F3C33">
        <w:rPr>
          <w:rStyle w:val="FootnoteReference"/>
          <w:vertAlign w:val="baseline"/>
          <w:lang w:val="ro-RO"/>
        </w:rPr>
        <w:footnoteReference w:id="20"/>
      </w:r>
      <w:r w:rsidRPr="004F3C33">
        <w:rPr>
          <w:lang w:val="ro-RO"/>
        </w:rPr>
        <w:t xml:space="preserve">) a relevat valori mai ridicate ale presiunii arteriale în ţările Europene, comparativ cu cel Nord Americane. Prevalenţa HTA a </w:t>
      </w:r>
      <w:r w:rsidRPr="004F3C33">
        <w:rPr>
          <w:lang w:val="ro-RO"/>
        </w:rPr>
        <w:lastRenderedPageBreak/>
        <w:t>fost cea mai r</w:t>
      </w:r>
      <w:r w:rsidRPr="0091155E">
        <w:rPr>
          <w:lang w:val="ro-RO"/>
        </w:rPr>
        <w:t xml:space="preserve">idicată în Germania (55%), urmată de Finlanda (49%), Spania (47%), Anglia (42%), Suedia şi Italia (38%).  Prevalenţele HTA în SUA şi Canada au fost la jumătate, comparativ cu cea din Germania (28% şi respectiv 27%). </w:t>
      </w:r>
      <w:r w:rsidR="00700CA8" w:rsidRPr="0091155E">
        <w:rPr>
          <w:lang w:val="ro-RO"/>
        </w:rPr>
        <w:t>Pentr</w:t>
      </w:r>
      <w:r w:rsidR="003538FC" w:rsidRPr="0091155E">
        <w:rPr>
          <w:lang w:val="ro-RO"/>
        </w:rPr>
        <w:t>u ţările Europene prevalenţa HTA</w:t>
      </w:r>
      <w:r w:rsidR="00700CA8" w:rsidRPr="0091155E">
        <w:rPr>
          <w:lang w:val="ro-RO"/>
        </w:rPr>
        <w:t xml:space="preserve"> a fost în medie de 44,2%, comparativ cu 27,6% în America de Nord.</w:t>
      </w:r>
    </w:p>
    <w:p w:rsidR="001A0748" w:rsidRPr="0091155E" w:rsidRDefault="001A0748" w:rsidP="001A0748">
      <w:pPr>
        <w:spacing w:line="360" w:lineRule="auto"/>
        <w:jc w:val="both"/>
        <w:rPr>
          <w:lang w:val="ro-RO"/>
        </w:rPr>
      </w:pPr>
    </w:p>
    <w:p w:rsidR="00700CA8" w:rsidRPr="0091155E" w:rsidRDefault="00AC4EEC" w:rsidP="00700CA8">
      <w:pPr>
        <w:numPr>
          <w:ilvl w:val="0"/>
          <w:numId w:val="19"/>
        </w:numPr>
        <w:spacing w:line="360" w:lineRule="auto"/>
        <w:jc w:val="both"/>
        <w:rPr>
          <w:lang w:val="ro-RO"/>
        </w:rPr>
      </w:pPr>
      <w:r w:rsidRPr="0091155E">
        <w:rPr>
          <w:lang w:val="ro-RO"/>
        </w:rPr>
        <w:t xml:space="preserve">Prevalenţa ajustată </w:t>
      </w:r>
      <w:r w:rsidR="001A0748" w:rsidRPr="0091155E">
        <w:rPr>
          <w:lang w:val="ro-RO"/>
        </w:rPr>
        <w:t xml:space="preserve">a HTA </w:t>
      </w:r>
      <w:r w:rsidRPr="0091155E">
        <w:rPr>
          <w:lang w:val="ro-RO"/>
        </w:rPr>
        <w:t xml:space="preserve">în raport cu vârsta la adulţii din SUA a fost de 28,6% în 2009-2010. Dintre adulţii cu HTA, 81,9% îşi recunoşteau această condiţie şi 76,4% luau în mod curent medicaţie pentru reducerea presiunii arteriale. S-a observat o creştere semnificativă în ceea ce priveşte controlul HTA, de la 48,4% în </w:t>
      </w:r>
      <w:r w:rsidR="004050AE" w:rsidRPr="0091155E">
        <w:rPr>
          <w:lang w:val="ro-RO"/>
        </w:rPr>
        <w:t>2007-2008 la 53,3% în 2009-1010</w:t>
      </w:r>
      <w:r w:rsidRPr="0091155E">
        <w:rPr>
          <w:lang w:val="ro-RO"/>
        </w:rPr>
        <w:t xml:space="preserve"> (</w:t>
      </w:r>
      <w:r w:rsidR="00CA252E" w:rsidRPr="0091155E">
        <w:rPr>
          <w:rStyle w:val="FootnoteReference"/>
          <w:vertAlign w:val="baseline"/>
          <w:lang w:val="ro-RO"/>
        </w:rPr>
        <w:footnoteReference w:id="21"/>
      </w:r>
      <w:r w:rsidRPr="0091155E">
        <w:rPr>
          <w:lang w:val="ro-RO"/>
        </w:rPr>
        <w:t xml:space="preserve">). </w:t>
      </w:r>
    </w:p>
    <w:p w:rsidR="001A0748" w:rsidRPr="0091155E" w:rsidRDefault="001A0748" w:rsidP="001A0748">
      <w:pPr>
        <w:spacing w:line="360" w:lineRule="auto"/>
        <w:jc w:val="both"/>
        <w:rPr>
          <w:lang w:val="ro-RO"/>
        </w:rPr>
      </w:pPr>
    </w:p>
    <w:p w:rsidR="002D7DC2" w:rsidRPr="0091155E" w:rsidRDefault="00700CA8" w:rsidP="002D7DC2">
      <w:pPr>
        <w:numPr>
          <w:ilvl w:val="0"/>
          <w:numId w:val="19"/>
        </w:numPr>
        <w:spacing w:line="360" w:lineRule="auto"/>
        <w:jc w:val="both"/>
        <w:rPr>
          <w:lang w:val="ro-RO"/>
        </w:rPr>
      </w:pPr>
      <w:r w:rsidRPr="0091155E">
        <w:rPr>
          <w:lang w:val="ro-RO"/>
        </w:rPr>
        <w:t xml:space="preserve">Conform unui studiu publicat în 2011 prevalenţa HTA a în rândul populaţiei adulte din Arabia Saudită </w:t>
      </w:r>
      <w:r w:rsidR="0071605F" w:rsidRPr="0091155E">
        <w:rPr>
          <w:lang w:val="ro-RO"/>
        </w:rPr>
        <w:t>în vârstă de 15-64 ani fost de 25,</w:t>
      </w:r>
      <w:r w:rsidRPr="0091155E">
        <w:rPr>
          <w:lang w:val="ro-RO"/>
        </w:rPr>
        <w:t>5% (</w:t>
      </w:r>
      <w:r w:rsidR="00CA252E" w:rsidRPr="0091155E">
        <w:rPr>
          <w:rStyle w:val="FootnoteReference"/>
          <w:vertAlign w:val="baseline"/>
          <w:lang w:val="ro-RO"/>
        </w:rPr>
        <w:footnoteReference w:id="22"/>
      </w:r>
      <w:r w:rsidRPr="0091155E">
        <w:rPr>
          <w:lang w:val="ro-RO"/>
        </w:rPr>
        <w:t>).</w:t>
      </w:r>
    </w:p>
    <w:p w:rsidR="002D7DC2" w:rsidRPr="0091155E" w:rsidRDefault="002D7DC2" w:rsidP="002D7DC2">
      <w:pPr>
        <w:spacing w:line="360" w:lineRule="auto"/>
        <w:jc w:val="both"/>
        <w:rPr>
          <w:lang w:val="ro-RO"/>
        </w:rPr>
      </w:pPr>
    </w:p>
    <w:p w:rsidR="001A0748" w:rsidRPr="0091155E" w:rsidRDefault="003E7A4E" w:rsidP="002D7DC2">
      <w:pPr>
        <w:numPr>
          <w:ilvl w:val="0"/>
          <w:numId w:val="19"/>
        </w:numPr>
        <w:autoSpaceDE w:val="0"/>
        <w:autoSpaceDN w:val="0"/>
        <w:adjustRightInd w:val="0"/>
        <w:spacing w:line="360" w:lineRule="auto"/>
        <w:jc w:val="both"/>
        <w:rPr>
          <w:lang w:val="ro-RO"/>
        </w:rPr>
      </w:pPr>
      <w:r w:rsidRPr="0091155E">
        <w:rPr>
          <w:lang w:val="ro-RO"/>
        </w:rPr>
        <w:t>Rezultatele studi</w:t>
      </w:r>
      <w:r w:rsidR="000A33A6" w:rsidRPr="0091155E">
        <w:rPr>
          <w:lang w:val="ro-RO"/>
        </w:rPr>
        <w:t xml:space="preserve">ului </w:t>
      </w:r>
      <w:r w:rsidR="000A33A6" w:rsidRPr="0091155E">
        <w:rPr>
          <w:b/>
          <w:lang w:val="ro-RO"/>
        </w:rPr>
        <w:t>BP-CARE</w:t>
      </w:r>
      <w:r w:rsidR="001A0748" w:rsidRPr="0091155E">
        <w:rPr>
          <w:color w:val="008394"/>
          <w:lang w:val="ro-RO"/>
        </w:rPr>
        <w:t xml:space="preserve"> </w:t>
      </w:r>
      <w:r w:rsidR="001A0748" w:rsidRPr="0091155E">
        <w:rPr>
          <w:lang w:val="ro-RO"/>
        </w:rPr>
        <w:t>(</w:t>
      </w:r>
      <w:r w:rsidR="00CA252E" w:rsidRPr="0091155E">
        <w:rPr>
          <w:rStyle w:val="FootnoteReference"/>
          <w:vertAlign w:val="baseline"/>
          <w:lang w:val="ro-RO"/>
        </w:rPr>
        <w:footnoteReference w:id="23"/>
      </w:r>
      <w:r w:rsidR="001A0748" w:rsidRPr="0091155E">
        <w:rPr>
          <w:lang w:val="ro-RO"/>
        </w:rPr>
        <w:t xml:space="preserve">) </w:t>
      </w:r>
      <w:r w:rsidR="000A33A6" w:rsidRPr="0091155E">
        <w:rPr>
          <w:lang w:val="ro-RO"/>
        </w:rPr>
        <w:t>derulat în Ţările Eu</w:t>
      </w:r>
      <w:r w:rsidRPr="0091155E">
        <w:rPr>
          <w:lang w:val="ro-RO"/>
        </w:rPr>
        <w:t xml:space="preserve">ropei Centrale şi de Est, printre care şi România au relevat faptul că </w:t>
      </w:r>
      <w:r w:rsidR="001A0748" w:rsidRPr="0091155E">
        <w:rPr>
          <w:lang w:val="ro-RO"/>
        </w:rPr>
        <w:t>în aceste ţări controlul presiunii arteriale este nesatisfăcător, îndeosebi în cazul pacienţilor la risc cardiovascular înalt, dar nu diferă de cel observat în ţările vest europene.</w:t>
      </w:r>
      <w:r w:rsidR="002D7DC2" w:rsidRPr="0091155E">
        <w:rPr>
          <w:lang w:val="ro-RO"/>
        </w:rPr>
        <w:t xml:space="preserve"> Această situaţie are implicaţii majore pentru sănătatea publică, deoarece s-a demonstrat că un control ineficient al presiunii arteriale </w:t>
      </w:r>
      <w:r w:rsidR="001A0748" w:rsidRPr="0091155E">
        <w:rPr>
          <w:color w:val="231F20"/>
          <w:lang w:val="ro-RO"/>
        </w:rPr>
        <w:t xml:space="preserve"> </w:t>
      </w:r>
      <w:r w:rsidR="002D7DC2" w:rsidRPr="0091155E">
        <w:rPr>
          <w:color w:val="231F20"/>
          <w:lang w:val="ro-RO"/>
        </w:rPr>
        <w:t xml:space="preserve">este asociat cu o creştere marcată a riscului de evenimente cardiovasculare fatale şi non-fatale. </w:t>
      </w:r>
    </w:p>
    <w:p w:rsidR="002D7DC2" w:rsidRPr="0091155E" w:rsidRDefault="002D7DC2" w:rsidP="002D7DC2">
      <w:pPr>
        <w:autoSpaceDE w:val="0"/>
        <w:autoSpaceDN w:val="0"/>
        <w:adjustRightInd w:val="0"/>
        <w:spacing w:line="360" w:lineRule="auto"/>
        <w:jc w:val="both"/>
        <w:rPr>
          <w:lang w:val="ro-RO"/>
        </w:rPr>
      </w:pPr>
    </w:p>
    <w:p w:rsidR="003E7A4E" w:rsidRPr="0091155E" w:rsidRDefault="003E7A4E" w:rsidP="003E7A4E">
      <w:pPr>
        <w:numPr>
          <w:ilvl w:val="0"/>
          <w:numId w:val="19"/>
        </w:numPr>
        <w:autoSpaceDE w:val="0"/>
        <w:autoSpaceDN w:val="0"/>
        <w:adjustRightInd w:val="0"/>
        <w:spacing w:line="360" w:lineRule="auto"/>
        <w:jc w:val="both"/>
        <w:rPr>
          <w:lang w:val="pt-BR"/>
        </w:rPr>
      </w:pPr>
      <w:r w:rsidRPr="0091155E">
        <w:rPr>
          <w:lang w:val="pt-BR"/>
        </w:rPr>
        <w:t>Conform studiului Global burden of cardiovascular diseases (</w:t>
      </w:r>
      <w:r w:rsidR="00CA252E" w:rsidRPr="0091155E">
        <w:rPr>
          <w:rStyle w:val="FootnoteReference"/>
          <w:vertAlign w:val="baseline"/>
          <w:lang w:val="pt-BR"/>
        </w:rPr>
        <w:footnoteReference w:id="24"/>
      </w:r>
      <w:r w:rsidRPr="0091155E">
        <w:rPr>
          <w:lang w:val="pt-BR"/>
        </w:rPr>
        <w:t>)</w:t>
      </w:r>
      <w:r w:rsidRPr="0091155E">
        <w:rPr>
          <w:color w:val="FF0000"/>
          <w:lang w:val="pt-BR"/>
        </w:rPr>
        <w:t xml:space="preserve"> </w:t>
      </w:r>
      <w:r w:rsidRPr="0091155E">
        <w:rPr>
          <w:lang w:val="pt-BR"/>
        </w:rPr>
        <w:t>se apreciazã cã din totalul de 55 milioane de decese înregistrate anual pe întreg globul, aproximativ 30% sunt decese de cauzã cardiovascularã.</w:t>
      </w:r>
    </w:p>
    <w:p w:rsidR="005331D2" w:rsidRPr="0091155E" w:rsidRDefault="005331D2" w:rsidP="005331D2">
      <w:pPr>
        <w:autoSpaceDE w:val="0"/>
        <w:autoSpaceDN w:val="0"/>
        <w:adjustRightInd w:val="0"/>
        <w:spacing w:line="360" w:lineRule="auto"/>
        <w:jc w:val="both"/>
        <w:rPr>
          <w:lang w:val="pt-BR"/>
        </w:rPr>
      </w:pPr>
    </w:p>
    <w:p w:rsidR="003E7A4E" w:rsidRPr="0091155E" w:rsidRDefault="00126C28" w:rsidP="003E7A4E">
      <w:pPr>
        <w:numPr>
          <w:ilvl w:val="0"/>
          <w:numId w:val="19"/>
        </w:numPr>
        <w:autoSpaceDE w:val="0"/>
        <w:autoSpaceDN w:val="0"/>
        <w:adjustRightInd w:val="0"/>
        <w:spacing w:line="360" w:lineRule="auto"/>
        <w:jc w:val="both"/>
        <w:rPr>
          <w:lang w:val="pt-BR"/>
        </w:rPr>
      </w:pPr>
      <w:r w:rsidRPr="0091155E">
        <w:rPr>
          <w:lang w:val="pt-BR"/>
        </w:rPr>
        <w:lastRenderedPageBreak/>
        <w:t xml:space="preserve"> Informaţiile</w:t>
      </w:r>
      <w:r w:rsidR="003E7A4E" w:rsidRPr="0091155E">
        <w:rPr>
          <w:lang w:val="pt-BR"/>
        </w:rPr>
        <w:t xml:space="preserve"> Registrului European de Boli Cardiovasculare  (</w:t>
      </w:r>
      <w:r w:rsidR="00CA252E" w:rsidRPr="0091155E">
        <w:rPr>
          <w:rStyle w:val="FootnoteReference"/>
          <w:vertAlign w:val="baseline"/>
          <w:lang w:val="pt-BR"/>
        </w:rPr>
        <w:footnoteReference w:id="25"/>
      </w:r>
      <w:r w:rsidR="003E7A4E" w:rsidRPr="0091155E">
        <w:rPr>
          <w:lang w:val="pt-BR"/>
        </w:rPr>
        <w:t xml:space="preserve">) </w:t>
      </w:r>
      <w:r w:rsidRPr="0091155E">
        <w:rPr>
          <w:lang w:val="pt-BR"/>
        </w:rPr>
        <w:t xml:space="preserve">din </w:t>
      </w:r>
      <w:r w:rsidR="003E7A4E" w:rsidRPr="0091155E">
        <w:rPr>
          <w:lang w:val="pt-BR"/>
        </w:rPr>
        <w:t xml:space="preserve">anul 2001 </w:t>
      </w:r>
      <w:r w:rsidRPr="0091155E">
        <w:rPr>
          <w:lang w:val="pt-BR"/>
        </w:rPr>
        <w:t xml:space="preserve">plasa </w:t>
      </w:r>
      <w:r w:rsidR="003E7A4E" w:rsidRPr="0091155E">
        <w:rPr>
          <w:lang w:val="pt-BR"/>
        </w:rPr>
        <w:t xml:space="preserve">România printre ţãrile cu mortalitatea cardiovascularã cea mai ridicatã din Europa (depãşind 8/1000 locuitori). </w:t>
      </w:r>
    </w:p>
    <w:p w:rsidR="005331D2" w:rsidRPr="0091155E" w:rsidRDefault="005331D2" w:rsidP="005331D2">
      <w:pPr>
        <w:autoSpaceDE w:val="0"/>
        <w:autoSpaceDN w:val="0"/>
        <w:adjustRightInd w:val="0"/>
        <w:spacing w:line="360" w:lineRule="auto"/>
        <w:jc w:val="both"/>
        <w:rPr>
          <w:lang w:val="pt-BR"/>
        </w:rPr>
      </w:pPr>
    </w:p>
    <w:p w:rsidR="005331D2" w:rsidRPr="0091155E" w:rsidRDefault="003E7A4E" w:rsidP="005331D2">
      <w:pPr>
        <w:numPr>
          <w:ilvl w:val="0"/>
          <w:numId w:val="19"/>
        </w:numPr>
        <w:autoSpaceDE w:val="0"/>
        <w:autoSpaceDN w:val="0"/>
        <w:adjustRightInd w:val="0"/>
        <w:spacing w:line="360" w:lineRule="auto"/>
        <w:jc w:val="both"/>
        <w:rPr>
          <w:lang w:val="pt-BR"/>
        </w:rPr>
      </w:pPr>
      <w:r w:rsidRPr="0091155E">
        <w:rPr>
          <w:lang w:val="pt-BR"/>
        </w:rPr>
        <w:t xml:space="preserve">Tendinţa evolutivã a curbei mortalitãţii prin </w:t>
      </w:r>
      <w:r w:rsidR="0071605F" w:rsidRPr="0091155E">
        <w:rPr>
          <w:lang w:val="pt-BR"/>
        </w:rPr>
        <w:t>patologia cardiovasculară</w:t>
      </w:r>
      <w:r w:rsidRPr="0091155E">
        <w:rPr>
          <w:lang w:val="pt-BR"/>
        </w:rPr>
        <w:t xml:space="preserve"> a înregistrat în ultimele decenii o divergenţã între ţãrile Europei Centrale şi de Est - unde a atins rate foarte înalte - şi ţãrile din nordul şi vestul Europei – unde se aflã într-o continuã scãdere (</w:t>
      </w:r>
      <w:r w:rsidR="00ED7472" w:rsidRPr="0091155E">
        <w:rPr>
          <w:rStyle w:val="FootnoteReference"/>
          <w:vertAlign w:val="baseline"/>
          <w:lang w:val="pt-BR"/>
        </w:rPr>
        <w:footnoteReference w:id="26"/>
      </w:r>
      <w:r w:rsidRPr="0091155E">
        <w:rPr>
          <w:lang w:val="pt-BR"/>
        </w:rPr>
        <w:t xml:space="preserve">). </w:t>
      </w:r>
    </w:p>
    <w:p w:rsidR="003E7A4E" w:rsidRPr="0091155E" w:rsidRDefault="003E7A4E" w:rsidP="003E7A4E">
      <w:pPr>
        <w:numPr>
          <w:ilvl w:val="0"/>
          <w:numId w:val="19"/>
        </w:numPr>
        <w:autoSpaceDE w:val="0"/>
        <w:autoSpaceDN w:val="0"/>
        <w:adjustRightInd w:val="0"/>
        <w:spacing w:line="360" w:lineRule="auto"/>
        <w:jc w:val="both"/>
        <w:rPr>
          <w:lang w:val="pt-BR"/>
        </w:rPr>
      </w:pPr>
      <w:r w:rsidRPr="0091155E">
        <w:rPr>
          <w:lang w:val="pt-BR"/>
        </w:rPr>
        <w:t>Conform studiului SEPHAR 2005 (primul studiu naţional privind epidemiologia HTA) prevalenţa hipertensiunii arteriale la nivel naţional a fost de 4</w:t>
      </w:r>
      <w:r w:rsidR="0071605F" w:rsidRPr="0091155E">
        <w:rPr>
          <w:lang w:val="pt-BR"/>
        </w:rPr>
        <w:t>4,92</w:t>
      </w:r>
      <w:r w:rsidRPr="0091155E">
        <w:rPr>
          <w:lang w:val="pt-BR"/>
        </w:rPr>
        <w:t xml:space="preserve">%, procent comparabil cu </w:t>
      </w:r>
      <w:r w:rsidR="00485A17" w:rsidRPr="0091155E">
        <w:fldChar w:fldCharType="begin"/>
      </w:r>
      <w:r w:rsidRPr="0091155E">
        <w:rPr>
          <w:lang w:val="pt-BR"/>
        </w:rPr>
        <w:instrText xml:space="preserve"> HYPERLINK "http://www.informatiamedicala.ro/dictionar-medical/p/prevalenta-5142.html" </w:instrText>
      </w:r>
      <w:r w:rsidR="00485A17" w:rsidRPr="0091155E">
        <w:fldChar w:fldCharType="separate"/>
      </w:r>
      <w:r w:rsidRPr="0091155E">
        <w:rPr>
          <w:rStyle w:val="Hyperlink"/>
          <w:lang w:val="pt-BR"/>
        </w:rPr>
        <w:t>prevalenţa</w:t>
      </w:r>
      <w:r w:rsidR="00485A17" w:rsidRPr="0091155E">
        <w:fldChar w:fldCharType="end"/>
      </w:r>
      <w:r w:rsidRPr="0091155E">
        <w:rPr>
          <w:lang w:val="pt-BR"/>
        </w:rPr>
        <w:t xml:space="preserve"> hipertensiunii arteriale în Europa. În 2005 patru din zece adulţi sufereau de hipertensiune arterială şi foarte important mai mult de jumatate dintre ei nu se ştiau hipertensivi. O proporţie importantă dintre pacienţii nou diagnosticaţi cu hipertensiune în 2005 au fost tineri sub 40 de ani. Studiul a mai evidenţiat că 39% dintre pacienţii hipertensivi se tratau şi </w:t>
      </w:r>
      <w:r w:rsidR="0071605F" w:rsidRPr="0091155E">
        <w:rPr>
          <w:lang w:val="pt-BR"/>
        </w:rPr>
        <w:t xml:space="preserve">doar </w:t>
      </w:r>
      <w:r w:rsidRPr="0091155E">
        <w:rPr>
          <w:lang w:val="pt-BR"/>
        </w:rPr>
        <w:t>un procent foarte mic 7,8% erau bine controlaţi cu valori ale tensiunii de 14 cu 9.</w:t>
      </w:r>
    </w:p>
    <w:p w:rsidR="003F136C" w:rsidRPr="0091155E" w:rsidRDefault="003F136C" w:rsidP="003F136C">
      <w:pPr>
        <w:autoSpaceDE w:val="0"/>
        <w:autoSpaceDN w:val="0"/>
        <w:adjustRightInd w:val="0"/>
        <w:spacing w:line="360" w:lineRule="auto"/>
        <w:jc w:val="both"/>
        <w:rPr>
          <w:lang w:val="pt-BR"/>
        </w:rPr>
      </w:pPr>
    </w:p>
    <w:p w:rsidR="003E7A4E" w:rsidRPr="0091155E" w:rsidRDefault="003E7A4E" w:rsidP="003E7A4E">
      <w:pPr>
        <w:numPr>
          <w:ilvl w:val="0"/>
          <w:numId w:val="19"/>
        </w:numPr>
        <w:autoSpaceDE w:val="0"/>
        <w:autoSpaceDN w:val="0"/>
        <w:adjustRightInd w:val="0"/>
        <w:spacing w:line="360" w:lineRule="auto"/>
        <w:jc w:val="both"/>
        <w:rPr>
          <w:lang w:val="pt-BR"/>
        </w:rPr>
      </w:pPr>
      <w:r w:rsidRPr="0091155E">
        <w:rPr>
          <w:lang w:val="pt-BR"/>
        </w:rPr>
        <w:t xml:space="preserve">În România perioada 15 octombrie 2011-15 martie 2012 </w:t>
      </w:r>
      <w:r w:rsidR="00614C74" w:rsidRPr="0091155E">
        <w:rPr>
          <w:lang w:val="pt-BR"/>
        </w:rPr>
        <w:t>a</w:t>
      </w:r>
      <w:r w:rsidR="005331D2" w:rsidRPr="0091155E">
        <w:rPr>
          <w:lang w:val="pt-BR"/>
        </w:rPr>
        <w:t xml:space="preserve"> fost repetat</w:t>
      </w:r>
      <w:r w:rsidRPr="0091155E">
        <w:rPr>
          <w:lang w:val="pt-BR"/>
        </w:rPr>
        <w:t xml:space="preserve"> studiul SEPHAR</w:t>
      </w:r>
    </w:p>
    <w:p w:rsidR="00614C74" w:rsidRPr="0091155E" w:rsidRDefault="00614C74" w:rsidP="00614C74">
      <w:pPr>
        <w:autoSpaceDE w:val="0"/>
        <w:autoSpaceDN w:val="0"/>
        <w:adjustRightInd w:val="0"/>
        <w:spacing w:line="360" w:lineRule="auto"/>
        <w:jc w:val="both"/>
        <w:rPr>
          <w:lang w:val="pt-BR"/>
        </w:rPr>
      </w:pPr>
    </w:p>
    <w:p w:rsidR="00614C74" w:rsidRPr="0091155E" w:rsidRDefault="00614C74" w:rsidP="003E7A4E">
      <w:pPr>
        <w:numPr>
          <w:ilvl w:val="0"/>
          <w:numId w:val="19"/>
        </w:numPr>
        <w:autoSpaceDE w:val="0"/>
        <w:autoSpaceDN w:val="0"/>
        <w:adjustRightInd w:val="0"/>
        <w:spacing w:line="360" w:lineRule="auto"/>
        <w:jc w:val="both"/>
        <w:rPr>
          <w:lang w:val="it-IT"/>
        </w:rPr>
      </w:pPr>
      <w:r w:rsidRPr="0091155E">
        <w:rPr>
          <w:lang w:val="it-IT"/>
        </w:rPr>
        <w:t>Rezultatele studiului SEPHAR II au arătat o prevalenţă mai ridicată a HTA la sexul feminin (54.9%)</w:t>
      </w:r>
      <w:r w:rsidR="00783CAB" w:rsidRPr="0091155E">
        <w:rPr>
          <w:lang w:val="it-IT"/>
        </w:rPr>
        <w:t xml:space="preserve">. Majoritatea pacienţilor (59,1%) au fost trataţi, în cea mai mare parte cu 2 sau mai multe medicamente (72,3%). Dintre pacienţii trataţi, doar o pătrime au avut valori controlate ale PA. Rata controlului terapeutic a crescut cu nivelul de educaţie. </w:t>
      </w:r>
    </w:p>
    <w:p w:rsidR="003F136C" w:rsidRPr="0091155E" w:rsidRDefault="003F136C" w:rsidP="000B4DAA">
      <w:pPr>
        <w:autoSpaceDE w:val="0"/>
        <w:autoSpaceDN w:val="0"/>
        <w:adjustRightInd w:val="0"/>
        <w:spacing w:line="360" w:lineRule="auto"/>
        <w:jc w:val="both"/>
        <w:rPr>
          <w:lang w:val="it-IT"/>
        </w:rPr>
      </w:pPr>
    </w:p>
    <w:p w:rsidR="003E7A4E" w:rsidRPr="0091155E" w:rsidRDefault="003E7A4E" w:rsidP="006E6D87">
      <w:pPr>
        <w:numPr>
          <w:ilvl w:val="0"/>
          <w:numId w:val="46"/>
        </w:numPr>
        <w:tabs>
          <w:tab w:val="num" w:pos="1080"/>
        </w:tabs>
        <w:spacing w:line="360" w:lineRule="auto"/>
        <w:jc w:val="both"/>
        <w:rPr>
          <w:b/>
          <w:lang w:val="ro-RO"/>
        </w:rPr>
      </w:pPr>
      <w:r w:rsidRPr="0091155E">
        <w:rPr>
          <w:b/>
          <w:lang w:val="ro-RO"/>
        </w:rPr>
        <w:t>Ghiduri, recomandări</w:t>
      </w:r>
    </w:p>
    <w:p w:rsidR="003E7A4E" w:rsidRPr="0091155E" w:rsidRDefault="003E7A4E" w:rsidP="003E7A4E">
      <w:pPr>
        <w:spacing w:line="360" w:lineRule="auto"/>
        <w:ind w:left="360"/>
        <w:jc w:val="both"/>
        <w:rPr>
          <w:b/>
          <w:lang w:val="ro-RO"/>
        </w:rPr>
      </w:pPr>
    </w:p>
    <w:p w:rsidR="003E7A4E" w:rsidRPr="0091155E" w:rsidRDefault="003E7A4E" w:rsidP="004A49F6">
      <w:pPr>
        <w:numPr>
          <w:ilvl w:val="0"/>
          <w:numId w:val="25"/>
        </w:numPr>
        <w:spacing w:line="360" w:lineRule="auto"/>
        <w:jc w:val="both"/>
        <w:rPr>
          <w:b/>
          <w:i/>
          <w:lang w:val="ro-RO"/>
        </w:rPr>
      </w:pPr>
      <w:r w:rsidRPr="0091155E">
        <w:rPr>
          <w:b/>
          <w:i/>
          <w:lang w:val="ro-RO"/>
        </w:rPr>
        <w:t>Internaţionale</w:t>
      </w:r>
    </w:p>
    <w:p w:rsidR="007D5453" w:rsidRPr="0091155E" w:rsidRDefault="007D5453" w:rsidP="004A49F6">
      <w:pPr>
        <w:numPr>
          <w:ilvl w:val="0"/>
          <w:numId w:val="27"/>
        </w:numPr>
        <w:spacing w:line="360" w:lineRule="auto"/>
        <w:ind w:left="357" w:hanging="357"/>
        <w:jc w:val="both"/>
      </w:pPr>
      <w:r w:rsidRPr="0091155E">
        <w:rPr>
          <w:bCs/>
          <w:lang w:val="it-IT"/>
        </w:rPr>
        <w:t>Blood Pre</w:t>
      </w:r>
      <w:proofErr w:type="spellStart"/>
      <w:r w:rsidRPr="0091155E">
        <w:rPr>
          <w:bCs/>
        </w:rPr>
        <w:t>ssure</w:t>
      </w:r>
      <w:proofErr w:type="spellEnd"/>
      <w:r w:rsidRPr="0091155E">
        <w:rPr>
          <w:bCs/>
        </w:rPr>
        <w:t xml:space="preserve"> Measurement Guidelines</w:t>
      </w:r>
      <w:r w:rsidR="005B004B" w:rsidRPr="0091155E">
        <w:rPr>
          <w:bCs/>
        </w:rPr>
        <w:t xml:space="preserve"> </w:t>
      </w:r>
      <w:r w:rsidRPr="0091155E">
        <w:rPr>
          <w:bCs/>
        </w:rPr>
        <w:t>for Physical Therapists (</w:t>
      </w:r>
      <w:r w:rsidR="00ED7472" w:rsidRPr="0091155E">
        <w:rPr>
          <w:rStyle w:val="FootnoteReference"/>
          <w:bCs/>
          <w:vertAlign w:val="baseline"/>
        </w:rPr>
        <w:footnoteReference w:id="27"/>
      </w:r>
      <w:r w:rsidRPr="0091155E">
        <w:rPr>
          <w:rStyle w:val="citation-flpages"/>
        </w:rPr>
        <w:t xml:space="preserve">) </w:t>
      </w:r>
    </w:p>
    <w:p w:rsidR="007D5453" w:rsidRPr="0091155E" w:rsidRDefault="007D5453" w:rsidP="004A49F6">
      <w:pPr>
        <w:pStyle w:val="Heading1"/>
        <w:numPr>
          <w:ilvl w:val="0"/>
          <w:numId w:val="27"/>
        </w:numPr>
        <w:spacing w:before="0" w:beforeAutospacing="0" w:after="0" w:line="360" w:lineRule="auto"/>
        <w:ind w:left="357" w:hanging="357"/>
        <w:jc w:val="both"/>
        <w:rPr>
          <w:b w:val="0"/>
          <w:sz w:val="24"/>
          <w:szCs w:val="24"/>
        </w:rPr>
      </w:pPr>
      <w:r w:rsidRPr="0091155E">
        <w:rPr>
          <w:b w:val="0"/>
          <w:sz w:val="24"/>
          <w:szCs w:val="24"/>
        </w:rPr>
        <w:lastRenderedPageBreak/>
        <w:t>Blood Pressure Monitoring - New Guidelines Issued by NICE</w:t>
      </w:r>
      <w:r w:rsidR="005B004B" w:rsidRPr="0091155E">
        <w:rPr>
          <w:b w:val="0"/>
          <w:sz w:val="24"/>
          <w:szCs w:val="24"/>
        </w:rPr>
        <w:t xml:space="preserve"> (</w:t>
      </w:r>
      <w:r w:rsidR="003F136C" w:rsidRPr="0091155E">
        <w:rPr>
          <w:rStyle w:val="FootnoteReference"/>
          <w:b w:val="0"/>
          <w:sz w:val="24"/>
          <w:szCs w:val="24"/>
          <w:vertAlign w:val="baseline"/>
        </w:rPr>
        <w:footnoteReference w:id="28"/>
      </w:r>
      <w:r w:rsidRPr="0091155E">
        <w:rPr>
          <w:b w:val="0"/>
          <w:sz w:val="24"/>
          <w:szCs w:val="24"/>
        </w:rPr>
        <w:t>)</w:t>
      </w:r>
    </w:p>
    <w:p w:rsidR="005B004B" w:rsidRPr="0091155E" w:rsidRDefault="005B004B" w:rsidP="004A49F6">
      <w:pPr>
        <w:numPr>
          <w:ilvl w:val="0"/>
          <w:numId w:val="27"/>
        </w:numPr>
        <w:spacing w:line="360" w:lineRule="auto"/>
        <w:ind w:left="357" w:hanging="357"/>
        <w:jc w:val="both"/>
        <w:rPr>
          <w:color w:val="53534D"/>
        </w:rPr>
      </w:pPr>
      <w:r w:rsidRPr="0091155E">
        <w:rPr>
          <w:bCs/>
        </w:rPr>
        <w:t>International Society of Hypertension poc</w:t>
      </w:r>
      <w:r w:rsidR="003F136C" w:rsidRPr="0091155E">
        <w:rPr>
          <w:bCs/>
        </w:rPr>
        <w:t>ket guidelines 2007(</w:t>
      </w:r>
      <w:r w:rsidR="003F136C" w:rsidRPr="0091155E">
        <w:rPr>
          <w:rStyle w:val="FootnoteReference"/>
          <w:bCs/>
          <w:vertAlign w:val="baseline"/>
        </w:rPr>
        <w:footnoteReference w:id="29"/>
      </w:r>
      <w:r w:rsidR="003F136C" w:rsidRPr="0091155E">
        <w:rPr>
          <w:bCs/>
        </w:rPr>
        <w:t>)</w:t>
      </w:r>
    </w:p>
    <w:p w:rsidR="003F136C" w:rsidRPr="0091155E" w:rsidRDefault="004A49F6" w:rsidP="004A49F6">
      <w:pPr>
        <w:numPr>
          <w:ilvl w:val="0"/>
          <w:numId w:val="27"/>
        </w:numPr>
        <w:autoSpaceDE w:val="0"/>
        <w:autoSpaceDN w:val="0"/>
        <w:adjustRightInd w:val="0"/>
        <w:spacing w:line="360" w:lineRule="auto"/>
        <w:ind w:left="357" w:hanging="357"/>
        <w:jc w:val="both"/>
        <w:rPr>
          <w:color w:val="53534D"/>
        </w:rPr>
      </w:pPr>
      <w:r w:rsidRPr="0091155E">
        <w:t>Management of high blood pressure in children and adolescents: recommendations of the European Society of Hypertension</w:t>
      </w:r>
      <w:r w:rsidR="003F136C" w:rsidRPr="0091155E">
        <w:t xml:space="preserve"> (</w:t>
      </w:r>
      <w:r w:rsidR="003F136C" w:rsidRPr="0091155E">
        <w:rPr>
          <w:rStyle w:val="FootnoteReference"/>
          <w:vertAlign w:val="baseline"/>
        </w:rPr>
        <w:footnoteReference w:id="30"/>
      </w:r>
      <w:r w:rsidR="003F136C" w:rsidRPr="0091155E">
        <w:t>)</w:t>
      </w:r>
    </w:p>
    <w:p w:rsidR="008F3AEC" w:rsidRPr="0091155E" w:rsidRDefault="004A49F6" w:rsidP="00B400EA">
      <w:pPr>
        <w:numPr>
          <w:ilvl w:val="0"/>
          <w:numId w:val="27"/>
        </w:numPr>
        <w:autoSpaceDE w:val="0"/>
        <w:autoSpaceDN w:val="0"/>
        <w:adjustRightInd w:val="0"/>
        <w:spacing w:line="360" w:lineRule="auto"/>
        <w:ind w:left="357" w:hanging="357"/>
        <w:jc w:val="both"/>
        <w:rPr>
          <w:lang w:val="ro-RO"/>
        </w:rPr>
      </w:pPr>
      <w:r w:rsidRPr="0091155E">
        <w:t>European Society of Hypertension guidelines for blood pressure monitoring at home: a summary report of the Second International Consensus Conference on Home Blood Pressure Monitoring</w:t>
      </w:r>
      <w:r w:rsidR="00B400EA" w:rsidRPr="0091155E">
        <w:t xml:space="preserve"> (</w:t>
      </w:r>
      <w:r w:rsidR="00B400EA" w:rsidRPr="0091155E">
        <w:rPr>
          <w:rStyle w:val="FootnoteReference"/>
          <w:vertAlign w:val="baseline"/>
        </w:rPr>
        <w:footnoteReference w:id="31"/>
      </w:r>
      <w:r w:rsidR="00B400EA" w:rsidRPr="0091155E">
        <w:t>)</w:t>
      </w:r>
    </w:p>
    <w:p w:rsidR="0070401C" w:rsidRPr="0091155E" w:rsidRDefault="0070401C" w:rsidP="0070401C">
      <w:pPr>
        <w:numPr>
          <w:ilvl w:val="0"/>
          <w:numId w:val="27"/>
        </w:numPr>
        <w:autoSpaceDE w:val="0"/>
        <w:autoSpaceDN w:val="0"/>
        <w:adjustRightInd w:val="0"/>
        <w:spacing w:line="360" w:lineRule="auto"/>
        <w:ind w:left="357" w:hanging="357"/>
        <w:jc w:val="both"/>
        <w:rPr>
          <w:lang w:val="ro-RO"/>
        </w:rPr>
      </w:pPr>
      <w:r w:rsidRPr="0091155E">
        <w:rPr>
          <w:lang w:val="ro-RO"/>
        </w:rPr>
        <w:t>Reappraisal of European guidelines on hypertension management: a European Society of Hypertension Task Force document (</w:t>
      </w:r>
      <w:r w:rsidRPr="0091155E">
        <w:rPr>
          <w:rStyle w:val="FootnoteReference"/>
          <w:vertAlign w:val="baseline"/>
          <w:lang w:val="ro-RO"/>
        </w:rPr>
        <w:footnoteReference w:id="32"/>
      </w:r>
      <w:r w:rsidR="00F050FD" w:rsidRPr="0091155E">
        <w:rPr>
          <w:lang w:val="ro-RO"/>
        </w:rPr>
        <w:t>)</w:t>
      </w:r>
    </w:p>
    <w:p w:rsidR="00CB09E0" w:rsidRPr="0091155E" w:rsidRDefault="005F402D" w:rsidP="00CB09E0">
      <w:pPr>
        <w:numPr>
          <w:ilvl w:val="0"/>
          <w:numId w:val="27"/>
        </w:numPr>
        <w:autoSpaceDE w:val="0"/>
        <w:autoSpaceDN w:val="0"/>
        <w:adjustRightInd w:val="0"/>
        <w:spacing w:line="360" w:lineRule="auto"/>
        <w:ind w:left="357" w:hanging="357"/>
        <w:jc w:val="both"/>
        <w:rPr>
          <w:lang w:val="ro-RO"/>
        </w:rPr>
      </w:pPr>
      <w:r w:rsidRPr="0091155E">
        <w:rPr>
          <w:lang w:val="ro-RO"/>
        </w:rPr>
        <w:t>ESH/ESC Guidelines for the management of arterial hypertension. The</w:t>
      </w:r>
      <w:r w:rsidR="00FA0989" w:rsidRPr="0091155E">
        <w:rPr>
          <w:lang w:val="ro-RO"/>
        </w:rPr>
        <w:t xml:space="preserve"> </w:t>
      </w:r>
      <w:r w:rsidRPr="0091155E">
        <w:rPr>
          <w:lang w:val="ro-RO"/>
        </w:rPr>
        <w:t>Task Force for the management of</w:t>
      </w:r>
      <w:r w:rsidR="00666E19" w:rsidRPr="0091155E">
        <w:rPr>
          <w:lang w:val="ro-RO"/>
        </w:rPr>
        <w:t xml:space="preserve"> </w:t>
      </w:r>
      <w:r w:rsidRPr="0091155E">
        <w:rPr>
          <w:lang w:val="ro-RO"/>
        </w:rPr>
        <w:t>arterial hypertension of the European Society of Hypertension (ESH) and of the European Society of Cardiology (ESC)</w:t>
      </w:r>
      <w:r w:rsidR="00666E19" w:rsidRPr="0091155E">
        <w:rPr>
          <w:lang w:val="ro-RO"/>
        </w:rPr>
        <w:t xml:space="preserve"> (</w:t>
      </w:r>
      <w:r w:rsidRPr="0091155E">
        <w:rPr>
          <w:rStyle w:val="FootnoteReference"/>
          <w:vertAlign w:val="baseline"/>
          <w:lang w:val="ro-RO"/>
        </w:rPr>
        <w:footnoteReference w:id="33"/>
      </w:r>
      <w:r w:rsidR="00666E19" w:rsidRPr="0091155E">
        <w:rPr>
          <w:lang w:val="ro-RO"/>
        </w:rPr>
        <w:t>)</w:t>
      </w:r>
    </w:p>
    <w:p w:rsidR="00CB09E0" w:rsidRPr="0091155E" w:rsidRDefault="00CB09E0" w:rsidP="00CB09E0">
      <w:pPr>
        <w:numPr>
          <w:ilvl w:val="0"/>
          <w:numId w:val="27"/>
        </w:numPr>
        <w:autoSpaceDE w:val="0"/>
        <w:autoSpaceDN w:val="0"/>
        <w:adjustRightInd w:val="0"/>
        <w:spacing w:line="360" w:lineRule="auto"/>
        <w:ind w:left="357" w:hanging="357"/>
        <w:jc w:val="both"/>
        <w:rPr>
          <w:lang w:val="ro-RO"/>
        </w:rPr>
      </w:pPr>
      <w:r w:rsidRPr="0091155E">
        <w:rPr>
          <w:lang w:val="ro-RO"/>
        </w:rPr>
        <w:t xml:space="preserve">Hypertension: Emergencies and Urgencies </w:t>
      </w:r>
      <w:r w:rsidR="00666E19" w:rsidRPr="0091155E">
        <w:rPr>
          <w:lang w:val="ro-RO"/>
        </w:rPr>
        <w:t>(</w:t>
      </w:r>
      <w:r w:rsidRPr="0091155E">
        <w:rPr>
          <w:rStyle w:val="FootnoteReference"/>
          <w:vertAlign w:val="baseline"/>
          <w:lang w:val="ro-RO"/>
        </w:rPr>
        <w:footnoteReference w:id="34"/>
      </w:r>
      <w:r w:rsidR="00666E19" w:rsidRPr="0091155E">
        <w:rPr>
          <w:lang w:val="ro-RO"/>
        </w:rPr>
        <w:t>)</w:t>
      </w:r>
    </w:p>
    <w:p w:rsidR="00B400EA" w:rsidRPr="0091155E" w:rsidRDefault="00CB09E0" w:rsidP="00CB09E0">
      <w:pPr>
        <w:numPr>
          <w:ilvl w:val="0"/>
          <w:numId w:val="27"/>
        </w:numPr>
        <w:autoSpaceDE w:val="0"/>
        <w:autoSpaceDN w:val="0"/>
        <w:adjustRightInd w:val="0"/>
        <w:spacing w:line="360" w:lineRule="auto"/>
        <w:ind w:left="357" w:hanging="357"/>
        <w:jc w:val="both"/>
        <w:rPr>
          <w:lang w:val="ro-RO"/>
        </w:rPr>
      </w:pPr>
      <w:r w:rsidRPr="0091155E">
        <w:rPr>
          <w:lang w:val="ro-RO"/>
        </w:rPr>
        <w:t xml:space="preserve">Evaluation and Treatment of Severe Asymptomatic Hypertension </w:t>
      </w:r>
      <w:r w:rsidRPr="0091155E">
        <w:rPr>
          <w:lang w:val="ro-RO"/>
        </w:rPr>
        <w:cr/>
      </w:r>
      <w:r w:rsidR="00666E19" w:rsidRPr="0091155E">
        <w:rPr>
          <w:lang w:val="ro-RO"/>
        </w:rPr>
        <w:t>(</w:t>
      </w:r>
      <w:r w:rsidRPr="0091155E">
        <w:rPr>
          <w:rStyle w:val="FootnoteReference"/>
          <w:vertAlign w:val="baseline"/>
          <w:lang w:val="ro-RO"/>
        </w:rPr>
        <w:footnoteReference w:id="35"/>
      </w:r>
      <w:r w:rsidR="00666E19" w:rsidRPr="0091155E">
        <w:rPr>
          <w:lang w:val="ro-RO"/>
        </w:rPr>
        <w:t>)</w:t>
      </w:r>
    </w:p>
    <w:p w:rsidR="0078006D" w:rsidRPr="0091155E" w:rsidRDefault="0078006D" w:rsidP="005331D2">
      <w:pPr>
        <w:spacing w:line="360" w:lineRule="auto"/>
        <w:jc w:val="both"/>
        <w:rPr>
          <w:b/>
          <w:i/>
          <w:lang w:val="ro-RO"/>
        </w:rPr>
      </w:pPr>
    </w:p>
    <w:p w:rsidR="003E7A4E" w:rsidRPr="0091155E" w:rsidRDefault="003E7A4E" w:rsidP="005331D2">
      <w:pPr>
        <w:spacing w:line="360" w:lineRule="auto"/>
        <w:jc w:val="both"/>
        <w:rPr>
          <w:lang w:val="ro-RO"/>
        </w:rPr>
      </w:pPr>
      <w:r w:rsidRPr="0091155E">
        <w:rPr>
          <w:b/>
          <w:i/>
          <w:lang w:val="ro-RO"/>
        </w:rPr>
        <w:t>B. Naţionale</w:t>
      </w:r>
      <w:r w:rsidRPr="0091155E">
        <w:rPr>
          <w:i/>
          <w:lang w:val="ro-RO"/>
        </w:rPr>
        <w:t xml:space="preserve"> </w:t>
      </w:r>
    </w:p>
    <w:p w:rsidR="00674921" w:rsidRPr="0091155E" w:rsidRDefault="003E7A4E" w:rsidP="008F3AEC">
      <w:pPr>
        <w:numPr>
          <w:ilvl w:val="0"/>
          <w:numId w:val="43"/>
        </w:numPr>
        <w:spacing w:line="360" w:lineRule="auto"/>
        <w:jc w:val="both"/>
        <w:rPr>
          <w:color w:val="336699"/>
          <w:lang w:val="ro-RO"/>
        </w:rPr>
      </w:pPr>
      <w:r w:rsidRPr="0091155E">
        <w:rPr>
          <w:lang w:val="ro-RO"/>
        </w:rPr>
        <w:t>Ghid de management al hipert</w:t>
      </w:r>
      <w:r w:rsidR="004A49F6" w:rsidRPr="0091155E">
        <w:rPr>
          <w:lang w:val="ro-RO"/>
        </w:rPr>
        <w:t>e</w:t>
      </w:r>
      <w:r w:rsidRPr="0091155E">
        <w:rPr>
          <w:lang w:val="ro-RO"/>
        </w:rPr>
        <w:t xml:space="preserve">nsiunii arteriale </w:t>
      </w:r>
      <w:r w:rsidR="009206EA" w:rsidRPr="0091155E">
        <w:rPr>
          <w:color w:val="000000"/>
        </w:rPr>
        <w:t>(</w:t>
      </w:r>
      <w:proofErr w:type="spellStart"/>
      <w:r w:rsidR="009206EA" w:rsidRPr="0091155E">
        <w:rPr>
          <w:color w:val="000000"/>
        </w:rPr>
        <w:t>Ordinul</w:t>
      </w:r>
      <w:proofErr w:type="spellEnd"/>
      <w:r w:rsidR="009206EA" w:rsidRPr="0091155E">
        <w:rPr>
          <w:color w:val="000000"/>
        </w:rPr>
        <w:t xml:space="preserve"> 1059 din 2 </w:t>
      </w:r>
      <w:proofErr w:type="spellStart"/>
      <w:r w:rsidR="009206EA" w:rsidRPr="0091155E">
        <w:rPr>
          <w:color w:val="000000"/>
        </w:rPr>
        <w:t>septembrie</w:t>
      </w:r>
      <w:proofErr w:type="spellEnd"/>
      <w:r w:rsidR="009206EA" w:rsidRPr="0091155E">
        <w:rPr>
          <w:color w:val="000000"/>
        </w:rPr>
        <w:t xml:space="preserve"> 2009)</w:t>
      </w:r>
      <w:r w:rsidR="009206EA" w:rsidRPr="0091155E">
        <w:rPr>
          <w:lang w:val="ro-RO"/>
        </w:rPr>
        <w:t xml:space="preserve"> </w:t>
      </w:r>
      <w:r w:rsidR="004B6025" w:rsidRPr="0091155E">
        <w:rPr>
          <w:lang w:val="ro-RO"/>
        </w:rPr>
        <w:t>(</w:t>
      </w:r>
      <w:r w:rsidR="002D5294" w:rsidRPr="0091155E">
        <w:rPr>
          <w:rStyle w:val="FootnoteReference"/>
          <w:vertAlign w:val="baseline"/>
          <w:lang w:val="ro-RO"/>
        </w:rPr>
        <w:footnoteReference w:id="36"/>
      </w:r>
      <w:r w:rsidR="004B6025" w:rsidRPr="0091155E">
        <w:rPr>
          <w:lang w:val="ro-RO"/>
        </w:rPr>
        <w:t>)</w:t>
      </w:r>
    </w:p>
    <w:p w:rsidR="002E6264" w:rsidRPr="0091155E" w:rsidRDefault="003E7A4E" w:rsidP="008F3AEC">
      <w:pPr>
        <w:numPr>
          <w:ilvl w:val="0"/>
          <w:numId w:val="43"/>
        </w:numPr>
        <w:spacing w:line="360" w:lineRule="auto"/>
        <w:jc w:val="both"/>
        <w:rPr>
          <w:color w:val="336699"/>
          <w:lang w:val="ro-RO"/>
        </w:rPr>
      </w:pPr>
      <w:r w:rsidRPr="0091155E">
        <w:rPr>
          <w:lang w:val="ro-RO"/>
        </w:rPr>
        <w:t xml:space="preserve">Prevenţia, Diagnosticul şi tratamentul hipertensiunii arteriale esenţiale la adult. Ghid de practică pentru medicul de familie  </w:t>
      </w:r>
      <w:r w:rsidR="009206EA" w:rsidRPr="0091155E">
        <w:rPr>
          <w:color w:val="000000"/>
        </w:rPr>
        <w:t>(</w:t>
      </w:r>
      <w:proofErr w:type="spellStart"/>
      <w:r w:rsidR="009206EA" w:rsidRPr="0091155E">
        <w:rPr>
          <w:color w:val="000000"/>
        </w:rPr>
        <w:t>Ordinul</w:t>
      </w:r>
      <w:proofErr w:type="spellEnd"/>
      <w:r w:rsidR="009206EA" w:rsidRPr="0091155E">
        <w:rPr>
          <w:color w:val="000000"/>
        </w:rPr>
        <w:t xml:space="preserve"> 1059 din 2 </w:t>
      </w:r>
      <w:proofErr w:type="spellStart"/>
      <w:r w:rsidR="009206EA" w:rsidRPr="0091155E">
        <w:rPr>
          <w:color w:val="000000"/>
        </w:rPr>
        <w:t>septembrie</w:t>
      </w:r>
      <w:proofErr w:type="spellEnd"/>
      <w:r w:rsidR="009206EA" w:rsidRPr="0091155E">
        <w:rPr>
          <w:color w:val="000000"/>
        </w:rPr>
        <w:t xml:space="preserve"> 2009)</w:t>
      </w:r>
      <w:r w:rsidR="009206EA" w:rsidRPr="0091155E">
        <w:rPr>
          <w:lang w:val="ro-RO"/>
        </w:rPr>
        <w:t xml:space="preserve"> </w:t>
      </w:r>
      <w:r w:rsidR="002E6264" w:rsidRPr="0091155E">
        <w:rPr>
          <w:lang w:val="ro-RO"/>
        </w:rPr>
        <w:t>(</w:t>
      </w:r>
      <w:r w:rsidR="002E6264" w:rsidRPr="0091155E">
        <w:rPr>
          <w:rStyle w:val="FootnoteReference"/>
          <w:vertAlign w:val="baseline"/>
          <w:lang w:val="ro-RO"/>
        </w:rPr>
        <w:footnoteReference w:id="37"/>
      </w:r>
      <w:r w:rsidR="002E6264" w:rsidRPr="0091155E">
        <w:rPr>
          <w:lang w:val="ro-RO"/>
        </w:rPr>
        <w:t>)</w:t>
      </w:r>
    </w:p>
    <w:p w:rsidR="008F3AEC" w:rsidRPr="0091155E" w:rsidRDefault="003E7A4E" w:rsidP="008F3AEC">
      <w:pPr>
        <w:numPr>
          <w:ilvl w:val="0"/>
          <w:numId w:val="43"/>
        </w:numPr>
        <w:spacing w:line="360" w:lineRule="auto"/>
        <w:jc w:val="both"/>
        <w:rPr>
          <w:color w:val="336699"/>
          <w:lang w:val="ro-RO"/>
        </w:rPr>
      </w:pPr>
      <w:r w:rsidRPr="0091155E">
        <w:rPr>
          <w:lang w:val="ro-RO"/>
        </w:rPr>
        <w:t xml:space="preserve"> Ghidul pacientului cu hipertensiune arterială esenţială </w:t>
      </w:r>
      <w:r w:rsidR="009206EA" w:rsidRPr="0091155E">
        <w:rPr>
          <w:color w:val="000000"/>
          <w:lang w:val="ro-RO"/>
        </w:rPr>
        <w:t>(Ordinul 1059 din 2 septembrie 2009)</w:t>
      </w:r>
      <w:r w:rsidR="009206EA" w:rsidRPr="0091155E">
        <w:rPr>
          <w:lang w:val="ro-RO"/>
        </w:rPr>
        <w:t xml:space="preserve"> </w:t>
      </w:r>
      <w:r w:rsidR="002E6264" w:rsidRPr="0091155E">
        <w:rPr>
          <w:lang w:val="ro-RO"/>
        </w:rPr>
        <w:t>(</w:t>
      </w:r>
      <w:r w:rsidR="002E6264" w:rsidRPr="0091155E">
        <w:rPr>
          <w:rStyle w:val="FootnoteReference"/>
          <w:vertAlign w:val="baseline"/>
          <w:lang w:val="ro-RO"/>
        </w:rPr>
        <w:footnoteReference w:id="38"/>
      </w:r>
      <w:r w:rsidR="002E6264" w:rsidRPr="0091155E">
        <w:rPr>
          <w:lang w:val="ro-RO"/>
        </w:rPr>
        <w:t>)</w:t>
      </w:r>
    </w:p>
    <w:p w:rsidR="00372A78" w:rsidRPr="00372A78" w:rsidRDefault="009206EA" w:rsidP="00372A78">
      <w:pPr>
        <w:numPr>
          <w:ilvl w:val="0"/>
          <w:numId w:val="43"/>
        </w:numPr>
        <w:shd w:val="clear" w:color="auto" w:fill="FFFFFF"/>
        <w:spacing w:line="540" w:lineRule="atLeast"/>
        <w:jc w:val="both"/>
        <w:rPr>
          <w:rStyle w:val="apple-converted-space"/>
          <w:rFonts w:asciiTheme="minorHAnsi" w:hAnsiTheme="minorHAnsi"/>
          <w:color w:val="363636"/>
          <w:sz w:val="22"/>
          <w:szCs w:val="22"/>
          <w:lang w:val="ro-RO"/>
        </w:rPr>
      </w:pPr>
      <w:r w:rsidRPr="00372A78">
        <w:rPr>
          <w:color w:val="000000"/>
          <w:lang w:val="ro-RO"/>
        </w:rPr>
        <w:lastRenderedPageBreak/>
        <w:t>Ghidul european de prevenţie a bolilor cardiovasculare în practica clinică</w:t>
      </w:r>
      <w:r w:rsidRPr="00372A78">
        <w:rPr>
          <w:rStyle w:val="apple-converted-space"/>
          <w:color w:val="000000"/>
          <w:lang w:val="ro-RO"/>
        </w:rPr>
        <w:t> </w:t>
      </w:r>
      <w:r w:rsidRPr="00372A78">
        <w:rPr>
          <w:color w:val="000000"/>
          <w:lang w:val="ro-RO"/>
        </w:rPr>
        <w:t>(Ordinul nr. 1390 din 08.11.2010)</w:t>
      </w:r>
      <w:r w:rsidRPr="00372A78">
        <w:rPr>
          <w:rStyle w:val="apple-converted-space"/>
          <w:color w:val="000000"/>
          <w:lang w:val="ro-RO"/>
        </w:rPr>
        <w:t> </w:t>
      </w:r>
    </w:p>
    <w:p w:rsidR="00372A78" w:rsidRPr="00372A78" w:rsidRDefault="009206EA" w:rsidP="00372A78">
      <w:pPr>
        <w:numPr>
          <w:ilvl w:val="0"/>
          <w:numId w:val="43"/>
        </w:numPr>
        <w:shd w:val="clear" w:color="auto" w:fill="FFFFFF"/>
        <w:spacing w:line="540" w:lineRule="atLeast"/>
        <w:jc w:val="both"/>
        <w:rPr>
          <w:rFonts w:asciiTheme="minorHAnsi" w:hAnsiTheme="minorHAnsi"/>
          <w:color w:val="363636"/>
          <w:sz w:val="22"/>
          <w:szCs w:val="22"/>
          <w:lang w:val="ro-RO"/>
        </w:rPr>
      </w:pPr>
      <w:r w:rsidRPr="00372A78">
        <w:rPr>
          <w:color w:val="000000"/>
          <w:lang w:val="ro-RO"/>
        </w:rPr>
        <w:t>Ghid de diagnostic şi tratament al hipertensiunii pulmonare arteriale</w:t>
      </w:r>
      <w:r w:rsidRPr="00372A78">
        <w:rPr>
          <w:rStyle w:val="apple-converted-space"/>
          <w:color w:val="000000"/>
          <w:lang w:val="ro-RO"/>
        </w:rPr>
        <w:t> </w:t>
      </w:r>
      <w:r w:rsidRPr="00372A78">
        <w:rPr>
          <w:color w:val="000000"/>
          <w:lang w:val="ro-RO"/>
        </w:rPr>
        <w:t>(ORDIN nr. 1390 din 08.11.2010)</w:t>
      </w:r>
    </w:p>
    <w:p w:rsidR="00372A78" w:rsidRPr="00372A78" w:rsidRDefault="0069455B" w:rsidP="00372A78">
      <w:pPr>
        <w:numPr>
          <w:ilvl w:val="0"/>
          <w:numId w:val="43"/>
        </w:numPr>
        <w:shd w:val="clear" w:color="auto" w:fill="FFFFFF"/>
        <w:spacing w:line="540" w:lineRule="atLeast"/>
        <w:jc w:val="both"/>
        <w:rPr>
          <w:rFonts w:asciiTheme="minorHAnsi" w:hAnsiTheme="minorHAnsi"/>
          <w:color w:val="363636"/>
          <w:sz w:val="22"/>
          <w:szCs w:val="22"/>
          <w:lang w:val="ro-RO"/>
        </w:rPr>
      </w:pPr>
      <w:r w:rsidRPr="00372A78">
        <w:rPr>
          <w:lang w:val="ro-RO"/>
        </w:rPr>
        <w:t>Ghidul ESH/ESC Managementul hipertensiunii arteriale 2013</w:t>
      </w:r>
      <w:r w:rsidR="007546BE" w:rsidRPr="00372A78">
        <w:rPr>
          <w:lang w:val="ro-RO"/>
        </w:rPr>
        <w:t xml:space="preserve"> (</w:t>
      </w:r>
      <w:r w:rsidRPr="00372A78">
        <w:rPr>
          <w:rStyle w:val="FootnoteReference"/>
          <w:vertAlign w:val="baseline"/>
          <w:lang w:val="ro-RO"/>
        </w:rPr>
        <w:footnoteReference w:id="39"/>
      </w:r>
      <w:r w:rsidR="007546BE" w:rsidRPr="00372A78">
        <w:rPr>
          <w:lang w:val="ro-RO"/>
        </w:rPr>
        <w:t>)</w:t>
      </w:r>
    </w:p>
    <w:p w:rsidR="00372A78" w:rsidRPr="00372A78" w:rsidRDefault="00372A78" w:rsidP="00372A78">
      <w:pPr>
        <w:numPr>
          <w:ilvl w:val="0"/>
          <w:numId w:val="43"/>
        </w:numPr>
        <w:shd w:val="clear" w:color="auto" w:fill="FFFFFF"/>
        <w:spacing w:line="540" w:lineRule="atLeast"/>
        <w:jc w:val="both"/>
        <w:rPr>
          <w:lang w:val="ro-RO"/>
        </w:rPr>
      </w:pPr>
      <w:r w:rsidRPr="00372A78">
        <w:rPr>
          <w:lang w:val="ro-RO"/>
        </w:rPr>
        <w:t>Ghidul de tratament al STEMI in prespital</w:t>
      </w:r>
      <w:r>
        <w:rPr>
          <w:lang w:val="ro-RO"/>
        </w:rPr>
        <w:t xml:space="preserve"> (</w:t>
      </w:r>
      <w:r w:rsidRPr="00372A78">
        <w:rPr>
          <w:rStyle w:val="FootnoteReference"/>
          <w:vertAlign w:val="baseline"/>
          <w:lang w:val="ro-RO"/>
        </w:rPr>
        <w:footnoteReference w:id="40"/>
      </w:r>
      <w:r>
        <w:rPr>
          <w:lang w:val="ro-RO"/>
        </w:rPr>
        <w:t>)</w:t>
      </w:r>
    </w:p>
    <w:p w:rsidR="00372A78" w:rsidRPr="00372A78" w:rsidRDefault="00372A78" w:rsidP="00372A78">
      <w:pPr>
        <w:numPr>
          <w:ilvl w:val="0"/>
          <w:numId w:val="43"/>
        </w:numPr>
        <w:shd w:val="clear" w:color="auto" w:fill="FFFFFF"/>
        <w:spacing w:line="540" w:lineRule="atLeast"/>
        <w:jc w:val="both"/>
        <w:rPr>
          <w:lang w:val="ro-RO"/>
        </w:rPr>
      </w:pPr>
      <w:r w:rsidRPr="00372A78">
        <w:rPr>
          <w:lang w:val="ro-RO"/>
        </w:rPr>
        <w:t>Compendiul de ghiduri ESC 2012 -2014</w:t>
      </w:r>
      <w:r>
        <w:rPr>
          <w:lang w:val="ro-RO"/>
        </w:rPr>
        <w:t xml:space="preserve"> (</w:t>
      </w:r>
      <w:r w:rsidRPr="00372A78">
        <w:rPr>
          <w:rStyle w:val="FootnoteReference"/>
          <w:vertAlign w:val="baseline"/>
          <w:lang w:val="ro-RO"/>
        </w:rPr>
        <w:footnoteReference w:id="41"/>
      </w:r>
      <w:r>
        <w:rPr>
          <w:lang w:val="ro-RO"/>
        </w:rPr>
        <w:t>)</w:t>
      </w:r>
    </w:p>
    <w:p w:rsidR="00372A78" w:rsidRPr="00372A78" w:rsidRDefault="00372A78" w:rsidP="00372A78">
      <w:pPr>
        <w:spacing w:line="360" w:lineRule="auto"/>
        <w:ind w:left="480"/>
        <w:jc w:val="both"/>
        <w:rPr>
          <w:rFonts w:asciiTheme="minorHAnsi" w:hAnsiTheme="minorHAnsi"/>
          <w:color w:val="336699"/>
          <w:sz w:val="22"/>
          <w:szCs w:val="22"/>
          <w:lang w:val="ro-RO"/>
        </w:rPr>
      </w:pPr>
    </w:p>
    <w:p w:rsidR="003E7A4E" w:rsidRPr="0091155E" w:rsidRDefault="003E7A4E" w:rsidP="006E6D87">
      <w:pPr>
        <w:numPr>
          <w:ilvl w:val="0"/>
          <w:numId w:val="46"/>
        </w:numPr>
        <w:tabs>
          <w:tab w:val="num" w:pos="1080"/>
        </w:tabs>
        <w:spacing w:line="360" w:lineRule="auto"/>
        <w:jc w:val="both"/>
        <w:rPr>
          <w:b/>
          <w:lang w:val="ro-RO"/>
        </w:rPr>
      </w:pPr>
      <w:r w:rsidRPr="0091155E">
        <w:rPr>
          <w:b/>
          <w:lang w:val="ro-RO"/>
        </w:rPr>
        <w:t>Lista de acte normative</w:t>
      </w:r>
    </w:p>
    <w:p w:rsidR="003E7A4E" w:rsidRPr="0091155E" w:rsidRDefault="003E7A4E" w:rsidP="005331D2">
      <w:pPr>
        <w:numPr>
          <w:ilvl w:val="0"/>
          <w:numId w:val="21"/>
        </w:numPr>
        <w:spacing w:line="360" w:lineRule="auto"/>
        <w:jc w:val="both"/>
        <w:rPr>
          <w:lang w:val="ro-RO"/>
        </w:rPr>
      </w:pPr>
      <w:r w:rsidRPr="0091155E">
        <w:rPr>
          <w:lang w:val="ro-RO"/>
        </w:rPr>
        <w:t>Ordinului MS 1059/ 02.09.2009 pentru aprobarea ghidurilor de practică medicală.</w:t>
      </w:r>
    </w:p>
    <w:p w:rsidR="003E7D08" w:rsidRDefault="003E7A4E" w:rsidP="003E7D08">
      <w:pPr>
        <w:numPr>
          <w:ilvl w:val="0"/>
          <w:numId w:val="21"/>
        </w:numPr>
        <w:spacing w:line="360" w:lineRule="auto"/>
        <w:jc w:val="both"/>
        <w:rPr>
          <w:lang w:val="ro-RO"/>
        </w:rPr>
      </w:pPr>
      <w:r w:rsidRPr="0091155E">
        <w:rPr>
          <w:lang w:val="ro-RO"/>
        </w:rPr>
        <w:t xml:space="preserve">Ordinul MS Nr. 1281/13.10.2009 privind aprobarea normelor metodologice pentru realizarea şi raportarea activităţilor specifice din cadrul </w:t>
      </w:r>
      <w:r w:rsidRPr="0091155E">
        <w:rPr>
          <w:i/>
          <w:lang w:val="ro-RO"/>
        </w:rPr>
        <w:t>Subprogramului de screening pentru identificarea pacienţilor cu factori de risc cardiovascular.</w:t>
      </w:r>
      <w:r w:rsidR="001F6047" w:rsidRPr="0091155E">
        <w:rPr>
          <w:i/>
          <w:lang w:val="ro-RO"/>
        </w:rPr>
        <w:t xml:space="preserve"> </w:t>
      </w:r>
      <w:r w:rsidRPr="0091155E">
        <w:rPr>
          <w:lang w:val="ro-RO"/>
        </w:rPr>
        <w:t>Cunoaşterea ponderii în rândul populaţiei a factorilor determinanţi pentru BCV, diagnosticarea pre</w:t>
      </w:r>
      <w:r w:rsidR="003E7D08">
        <w:rPr>
          <w:lang w:val="ro-RO"/>
        </w:rPr>
        <w:t>coce şi monitorizarea acestora,</w:t>
      </w:r>
    </w:p>
    <w:p w:rsidR="003E7D08" w:rsidRPr="0091155E" w:rsidRDefault="003E7D08" w:rsidP="003E7D08">
      <w:pPr>
        <w:numPr>
          <w:ilvl w:val="0"/>
          <w:numId w:val="21"/>
        </w:numPr>
        <w:spacing w:line="360" w:lineRule="auto"/>
        <w:jc w:val="both"/>
        <w:rPr>
          <w:lang w:val="ro-RO"/>
        </w:rPr>
      </w:pPr>
      <w:r>
        <w:rPr>
          <w:lang w:val="ro-RO"/>
        </w:rPr>
        <w:t>O</w:t>
      </w:r>
      <w:r w:rsidRPr="0091155E">
        <w:rPr>
          <w:color w:val="000000"/>
          <w:shd w:val="clear" w:color="auto" w:fill="FFFFFF"/>
          <w:lang w:val="ro-RO"/>
        </w:rPr>
        <w:t xml:space="preserve">rdinul MS nr. 1390 din 08.11.2010, privind aprobarea Ghidurilor de practică medicală pentru specialitatea cardiologie </w:t>
      </w:r>
    </w:p>
    <w:p w:rsidR="003E7A4E" w:rsidRPr="0091155E" w:rsidRDefault="003E7A4E" w:rsidP="004A49F6">
      <w:pPr>
        <w:numPr>
          <w:ilvl w:val="0"/>
          <w:numId w:val="21"/>
        </w:numPr>
        <w:spacing w:line="360" w:lineRule="auto"/>
        <w:jc w:val="both"/>
        <w:rPr>
          <w:lang w:val="ro-RO"/>
        </w:rPr>
      </w:pPr>
      <w:r w:rsidRPr="0091155E">
        <w:rPr>
          <w:lang w:val="ro-RO"/>
        </w:rPr>
        <w:t>pentru evitarea deceselor premature.</w:t>
      </w:r>
    </w:p>
    <w:p w:rsidR="00CB0A38" w:rsidRPr="0091155E" w:rsidRDefault="00CB0A38" w:rsidP="00CB0A38">
      <w:pPr>
        <w:numPr>
          <w:ilvl w:val="0"/>
          <w:numId w:val="21"/>
        </w:numPr>
        <w:autoSpaceDE w:val="0"/>
        <w:autoSpaceDN w:val="0"/>
        <w:adjustRightInd w:val="0"/>
        <w:spacing w:line="360" w:lineRule="auto"/>
        <w:jc w:val="both"/>
        <w:rPr>
          <w:color w:val="000000"/>
          <w:lang w:val="ro-RO"/>
        </w:rPr>
      </w:pPr>
      <w:r w:rsidRPr="0091155E">
        <w:rPr>
          <w:color w:val="000000"/>
          <w:lang w:val="ro-RO"/>
        </w:rPr>
        <w:t xml:space="preserve">ORDIN Nr. </w:t>
      </w:r>
      <w:r w:rsidR="002A022F">
        <w:rPr>
          <w:color w:val="000000"/>
          <w:lang w:val="ro-RO"/>
        </w:rPr>
        <w:t xml:space="preserve">377 </w:t>
      </w:r>
      <w:r w:rsidRPr="0091155E">
        <w:rPr>
          <w:color w:val="000000"/>
          <w:lang w:val="ro-RO"/>
        </w:rPr>
        <w:t>din 3</w:t>
      </w:r>
      <w:r w:rsidR="002A022F">
        <w:rPr>
          <w:color w:val="000000"/>
          <w:lang w:val="ro-RO"/>
        </w:rPr>
        <w:t xml:space="preserve">0 </w:t>
      </w:r>
      <w:r w:rsidRPr="0091155E">
        <w:rPr>
          <w:color w:val="000000"/>
          <w:lang w:val="ro-RO"/>
        </w:rPr>
        <w:t>martie 20</w:t>
      </w:r>
      <w:r w:rsidR="002A022F">
        <w:rPr>
          <w:color w:val="000000"/>
          <w:lang w:val="ro-RO"/>
        </w:rPr>
        <w:t>17</w:t>
      </w:r>
      <w:r w:rsidRPr="0091155E">
        <w:rPr>
          <w:color w:val="000000"/>
          <w:lang w:val="ro-RO"/>
        </w:rPr>
        <w:t xml:space="preserve"> pentru aprobarea Normelor</w:t>
      </w:r>
      <w:r w:rsidR="002A022F">
        <w:rPr>
          <w:color w:val="000000"/>
          <w:lang w:val="ro-RO"/>
        </w:rPr>
        <w:t xml:space="preserve"> </w:t>
      </w:r>
      <w:r w:rsidR="003E7D08">
        <w:rPr>
          <w:color w:val="000000"/>
          <w:lang w:val="ro-RO"/>
        </w:rPr>
        <w:t>tehnice de realizare a programelor naț</w:t>
      </w:r>
      <w:r w:rsidR="002A022F">
        <w:rPr>
          <w:color w:val="000000"/>
          <w:lang w:val="ro-RO"/>
        </w:rPr>
        <w:t xml:space="preserve">ionale de </w:t>
      </w:r>
      <w:r w:rsidR="003E7D08">
        <w:rPr>
          <w:color w:val="000000"/>
          <w:lang w:val="ro-RO"/>
        </w:rPr>
        <w:t>sănătate publică</w:t>
      </w:r>
      <w:r w:rsidR="002A022F">
        <w:rPr>
          <w:color w:val="000000"/>
          <w:lang w:val="ro-RO"/>
        </w:rPr>
        <w:t xml:space="preserve"> pentru anii 2017-2018 </w:t>
      </w:r>
    </w:p>
    <w:p w:rsidR="003E7A4E" w:rsidRPr="0091155E" w:rsidRDefault="005331D2" w:rsidP="004A49F6">
      <w:pPr>
        <w:spacing w:line="360" w:lineRule="auto"/>
        <w:ind w:firstLine="360"/>
        <w:jc w:val="both"/>
        <w:rPr>
          <w:lang w:val="ro-RO"/>
        </w:rPr>
      </w:pPr>
      <w:r w:rsidRPr="0091155E">
        <w:rPr>
          <w:lang w:val="ro-RO"/>
        </w:rPr>
        <w:t xml:space="preserve">- </w:t>
      </w:r>
      <w:r w:rsidRPr="0091155E">
        <w:rPr>
          <w:lang w:val="ro-RO"/>
        </w:rPr>
        <w:tab/>
      </w:r>
      <w:r w:rsidR="003E7A4E" w:rsidRPr="0091155E">
        <w:rPr>
          <w:lang w:val="ro-RO"/>
        </w:rPr>
        <w:t>Program naţional de boli cardiovasculare</w:t>
      </w:r>
    </w:p>
    <w:p w:rsidR="003E7A4E" w:rsidRPr="0091155E" w:rsidRDefault="003E7A4E" w:rsidP="004A49F6">
      <w:pPr>
        <w:numPr>
          <w:ilvl w:val="2"/>
          <w:numId w:val="3"/>
        </w:numPr>
        <w:spacing w:line="360" w:lineRule="auto"/>
        <w:jc w:val="both"/>
        <w:rPr>
          <w:lang w:val="ro-RO"/>
        </w:rPr>
      </w:pPr>
      <w:r w:rsidRPr="0091155E">
        <w:rPr>
          <w:lang w:val="ro-RO"/>
        </w:rPr>
        <w:t>Subprogramul de tratament al pacienţilor cu afecţiuni CV.</w:t>
      </w:r>
    </w:p>
    <w:p w:rsidR="003E7A4E" w:rsidRPr="0091155E" w:rsidRDefault="003E7A4E" w:rsidP="004A49F6">
      <w:pPr>
        <w:numPr>
          <w:ilvl w:val="2"/>
          <w:numId w:val="3"/>
        </w:numPr>
        <w:spacing w:line="360" w:lineRule="auto"/>
        <w:jc w:val="both"/>
        <w:rPr>
          <w:lang w:val="ro-RO"/>
        </w:rPr>
      </w:pPr>
      <w:r w:rsidRPr="0091155E">
        <w:rPr>
          <w:lang w:val="ro-RO"/>
        </w:rPr>
        <w:t>Subprogramul de tratament invaziv al infarctului miocardic.</w:t>
      </w:r>
      <w:r w:rsidR="005331D2" w:rsidRPr="0091155E">
        <w:rPr>
          <w:lang w:val="ro-RO"/>
        </w:rPr>
        <w:t xml:space="preserve"> </w:t>
      </w:r>
    </w:p>
    <w:p w:rsidR="00C43BA8" w:rsidRDefault="00C43BA8" w:rsidP="004A49F6">
      <w:pPr>
        <w:spacing w:line="360" w:lineRule="auto"/>
        <w:jc w:val="both"/>
        <w:rPr>
          <w:b/>
          <w:bCs/>
          <w:lang w:val="ro-RO"/>
        </w:rPr>
      </w:pPr>
    </w:p>
    <w:p w:rsidR="00C43BA8" w:rsidRDefault="00C43BA8" w:rsidP="004A49F6">
      <w:pPr>
        <w:spacing w:line="360" w:lineRule="auto"/>
        <w:jc w:val="both"/>
        <w:rPr>
          <w:b/>
          <w:bCs/>
          <w:lang w:val="ro-RO"/>
        </w:rPr>
      </w:pPr>
    </w:p>
    <w:p w:rsidR="00FD6E4E" w:rsidRDefault="00FD6E4E" w:rsidP="004A49F6">
      <w:pPr>
        <w:spacing w:line="360" w:lineRule="auto"/>
        <w:jc w:val="both"/>
        <w:rPr>
          <w:b/>
          <w:bCs/>
          <w:lang w:val="ro-RO"/>
        </w:rPr>
      </w:pPr>
    </w:p>
    <w:p w:rsidR="003E7A4E" w:rsidRPr="0091155E" w:rsidRDefault="003E7A4E" w:rsidP="004A49F6">
      <w:pPr>
        <w:spacing w:line="360" w:lineRule="auto"/>
        <w:jc w:val="both"/>
        <w:rPr>
          <w:b/>
          <w:bCs/>
          <w:lang w:val="ro-RO"/>
        </w:rPr>
      </w:pPr>
      <w:r w:rsidRPr="0091155E">
        <w:rPr>
          <w:b/>
          <w:bCs/>
          <w:lang w:val="ro-RO"/>
        </w:rPr>
        <w:t>Recomandări:</w:t>
      </w:r>
    </w:p>
    <w:p w:rsidR="003E7A4E" w:rsidRPr="0091155E" w:rsidRDefault="003E7A4E" w:rsidP="004A49F6">
      <w:pPr>
        <w:autoSpaceDE w:val="0"/>
        <w:autoSpaceDN w:val="0"/>
        <w:adjustRightInd w:val="0"/>
        <w:spacing w:line="360" w:lineRule="auto"/>
        <w:jc w:val="both"/>
        <w:rPr>
          <w:lang w:val="ro-RO"/>
        </w:rPr>
      </w:pPr>
      <w:r w:rsidRPr="0091155E">
        <w:rPr>
          <w:lang w:val="ro-RO"/>
        </w:rPr>
        <w:lastRenderedPageBreak/>
        <w:t>Controale periodice - epicriză de etapă pentru afecţiunile care necesită dispensarizare</w:t>
      </w:r>
      <w:r w:rsidR="004A49F6" w:rsidRPr="0091155E">
        <w:rPr>
          <w:lang w:val="ro-RO"/>
        </w:rPr>
        <w:t xml:space="preserve"> </w:t>
      </w:r>
      <w:r w:rsidRPr="0091155E">
        <w:rPr>
          <w:lang w:val="ro-RO"/>
        </w:rPr>
        <w:t>conform prevederilor legale în vigoare:</w:t>
      </w:r>
    </w:p>
    <w:p w:rsidR="003E7A4E" w:rsidRPr="0091155E" w:rsidRDefault="003E7A4E" w:rsidP="00046114">
      <w:pPr>
        <w:numPr>
          <w:ilvl w:val="1"/>
          <w:numId w:val="3"/>
        </w:numPr>
        <w:autoSpaceDE w:val="0"/>
        <w:autoSpaceDN w:val="0"/>
        <w:adjustRightInd w:val="0"/>
        <w:spacing w:line="360" w:lineRule="auto"/>
        <w:jc w:val="both"/>
        <w:rPr>
          <w:lang w:val="ro-RO"/>
        </w:rPr>
      </w:pPr>
      <w:r w:rsidRPr="0091155E">
        <w:rPr>
          <w:lang w:val="ro-RO"/>
        </w:rPr>
        <w:t>HTA cu AVC controale la 3 luni</w:t>
      </w:r>
    </w:p>
    <w:p w:rsidR="003E7A4E" w:rsidRPr="0091155E" w:rsidRDefault="003E7A4E" w:rsidP="006E6D87">
      <w:pPr>
        <w:numPr>
          <w:ilvl w:val="0"/>
          <w:numId w:val="46"/>
        </w:numPr>
        <w:tabs>
          <w:tab w:val="num" w:pos="1080"/>
        </w:tabs>
        <w:spacing w:line="360" w:lineRule="auto"/>
        <w:jc w:val="both"/>
        <w:rPr>
          <w:b/>
          <w:lang w:val="ro-RO"/>
        </w:rPr>
      </w:pPr>
      <w:r w:rsidRPr="0091155E">
        <w:rPr>
          <w:b/>
          <w:lang w:val="ro-RO"/>
        </w:rPr>
        <w:t xml:space="preserve">Strategii, programe de acţiune: </w:t>
      </w:r>
    </w:p>
    <w:p w:rsidR="003E7A4E" w:rsidRPr="0091155E" w:rsidRDefault="003E7A4E" w:rsidP="005331D2">
      <w:pPr>
        <w:spacing w:line="360" w:lineRule="auto"/>
        <w:jc w:val="both"/>
        <w:rPr>
          <w:b/>
          <w:i/>
          <w:lang w:val="ro-RO"/>
        </w:rPr>
      </w:pPr>
      <w:r w:rsidRPr="0091155E">
        <w:rPr>
          <w:b/>
          <w:i/>
          <w:lang w:val="ro-RO"/>
        </w:rPr>
        <w:t xml:space="preserve"> Internaţionale</w:t>
      </w:r>
    </w:p>
    <w:p w:rsidR="003E7A4E" w:rsidRPr="0091155E" w:rsidRDefault="00D1462B" w:rsidP="005331D2">
      <w:pPr>
        <w:numPr>
          <w:ilvl w:val="3"/>
          <w:numId w:val="3"/>
        </w:numPr>
        <w:spacing w:line="360" w:lineRule="auto"/>
        <w:jc w:val="both"/>
        <w:rPr>
          <w:lang w:val="ro-RO"/>
        </w:rPr>
      </w:pPr>
      <w:r w:rsidRPr="0091155E">
        <w:rPr>
          <w:lang w:val="ro-RO"/>
        </w:rPr>
        <w:t>„</w:t>
      </w:r>
      <w:r w:rsidR="003E7A4E" w:rsidRPr="0091155E">
        <w:rPr>
          <w:i/>
          <w:lang w:val="ro-RO"/>
        </w:rPr>
        <w:t>European Heart Health Charter EHHC</w:t>
      </w:r>
      <w:r w:rsidR="003E7A4E" w:rsidRPr="0091155E">
        <w:rPr>
          <w:lang w:val="ro-RO"/>
        </w:rPr>
        <w:t>” elaborată de Comisia Europeană OMS şi EHN – European Heart Network, Societatea Europeană de cardiologie şi semnată de către acestea la Bruxel</w:t>
      </w:r>
      <w:r w:rsidR="004A49F6" w:rsidRPr="0091155E">
        <w:rPr>
          <w:lang w:val="ro-RO"/>
        </w:rPr>
        <w:t xml:space="preserve">les </w:t>
      </w:r>
      <w:r w:rsidR="003E7A4E" w:rsidRPr="0091155E">
        <w:rPr>
          <w:lang w:val="ro-RO"/>
        </w:rPr>
        <w:t>în iunie 2007.</w:t>
      </w:r>
    </w:p>
    <w:p w:rsidR="003365E6" w:rsidRPr="0091155E" w:rsidRDefault="00D1462B" w:rsidP="003365E6">
      <w:pPr>
        <w:numPr>
          <w:ilvl w:val="3"/>
          <w:numId w:val="3"/>
        </w:numPr>
        <w:spacing w:line="360" w:lineRule="auto"/>
        <w:jc w:val="both"/>
        <w:rPr>
          <w:lang w:val="ro-RO"/>
        </w:rPr>
      </w:pPr>
      <w:r w:rsidRPr="0091155E">
        <w:rPr>
          <w:lang w:val="ro-RO"/>
        </w:rPr>
        <w:t>„</w:t>
      </w:r>
      <w:r w:rsidR="003365E6" w:rsidRPr="0091155E">
        <w:rPr>
          <w:i/>
          <w:lang w:val="ro-RO"/>
        </w:rPr>
        <w:t>2008-2013 Action</w:t>
      </w:r>
      <w:r w:rsidRPr="0091155E">
        <w:rPr>
          <w:i/>
          <w:lang w:val="ro-RO"/>
        </w:rPr>
        <w:t xml:space="preserve"> </w:t>
      </w:r>
      <w:r w:rsidR="003365E6" w:rsidRPr="0091155E">
        <w:rPr>
          <w:i/>
          <w:lang w:val="ro-RO"/>
        </w:rPr>
        <w:t>Plan for the Global Strategy for the Prevention and Control of Noncommunicable Diseases</w:t>
      </w:r>
      <w:r w:rsidRPr="0091155E">
        <w:rPr>
          <w:i/>
          <w:lang w:val="ro-RO"/>
        </w:rPr>
        <w:t>”</w:t>
      </w:r>
      <w:r w:rsidR="003365E6" w:rsidRPr="0091155E">
        <w:rPr>
          <w:lang w:val="ro-RO"/>
        </w:rPr>
        <w:t xml:space="preserve"> (WHO)</w:t>
      </w:r>
    </w:p>
    <w:p w:rsidR="003E7A4E" w:rsidRPr="0091155E" w:rsidRDefault="003E7A4E" w:rsidP="003365E6">
      <w:pPr>
        <w:spacing w:line="360" w:lineRule="auto"/>
        <w:ind w:firstLine="720"/>
        <w:jc w:val="both"/>
        <w:rPr>
          <w:lang w:val="ro-RO"/>
        </w:rPr>
      </w:pPr>
      <w:r w:rsidRPr="0091155E">
        <w:rPr>
          <w:lang w:val="ro-RO"/>
        </w:rPr>
        <w:t xml:space="preserve">România a aderat şi semnat EHHC la 15.09.2007 obiectivele EHHC reducerea incidenţei BCV şi a recurenţelor acestora, a AVC. </w:t>
      </w:r>
    </w:p>
    <w:p w:rsidR="003E7A4E" w:rsidRPr="0091155E" w:rsidRDefault="003E7A4E" w:rsidP="003365E6">
      <w:pPr>
        <w:spacing w:line="360" w:lineRule="auto"/>
        <w:ind w:firstLine="720"/>
        <w:jc w:val="both"/>
        <w:rPr>
          <w:lang w:val="ro-RO"/>
        </w:rPr>
      </w:pPr>
      <w:r w:rsidRPr="0091155E">
        <w:rPr>
          <w:lang w:val="ro-RO"/>
        </w:rPr>
        <w:t>În strategiile de prevenţie şi promovare se delimitează două căi distincte: strategia „populaţională” aplicată global şi “a riscului înalt” adresat pacienţilor cunoscuţi cu BCV.</w:t>
      </w:r>
    </w:p>
    <w:p w:rsidR="003E7A4E" w:rsidRPr="0091155E" w:rsidRDefault="003E7A4E" w:rsidP="003365E6">
      <w:pPr>
        <w:numPr>
          <w:ilvl w:val="4"/>
          <w:numId w:val="3"/>
        </w:numPr>
        <w:spacing w:line="360" w:lineRule="auto"/>
        <w:jc w:val="both"/>
        <w:rPr>
          <w:lang w:val="ro-RO"/>
        </w:rPr>
      </w:pPr>
      <w:r w:rsidRPr="0091155E">
        <w:rPr>
          <w:lang w:val="ro-RO"/>
        </w:rPr>
        <w:t>Prevederi ale strategiei  populaţionale: reducerea fumatului, optimizarea dietei, combaterea sedentarismului, informare şi educare continuă</w:t>
      </w:r>
    </w:p>
    <w:p w:rsidR="003E7A4E" w:rsidRPr="0091155E" w:rsidRDefault="003E7A4E" w:rsidP="003365E6">
      <w:pPr>
        <w:numPr>
          <w:ilvl w:val="4"/>
          <w:numId w:val="3"/>
        </w:numPr>
        <w:spacing w:line="360" w:lineRule="auto"/>
        <w:jc w:val="both"/>
        <w:rPr>
          <w:lang w:val="ro-RO"/>
        </w:rPr>
      </w:pPr>
      <w:r w:rsidRPr="0091155E">
        <w:rPr>
          <w:lang w:val="ro-RO"/>
        </w:rPr>
        <w:t>Prevederi ale strategiei riscului înalt: identificarea pacienţilor cu risc crescut pe baza SCORE („Sistematic Coronary Risk Evaluation”)</w:t>
      </w:r>
    </w:p>
    <w:p w:rsidR="006E6D87" w:rsidRPr="0091155E" w:rsidRDefault="006E6D87" w:rsidP="005331D2">
      <w:pPr>
        <w:spacing w:line="360" w:lineRule="auto"/>
        <w:jc w:val="both"/>
        <w:rPr>
          <w:b/>
          <w:i/>
          <w:lang w:val="ro-RO"/>
        </w:rPr>
      </w:pPr>
    </w:p>
    <w:p w:rsidR="003E7A4E" w:rsidRPr="0091155E" w:rsidRDefault="003E7A4E" w:rsidP="005331D2">
      <w:pPr>
        <w:spacing w:line="360" w:lineRule="auto"/>
        <w:jc w:val="both"/>
        <w:rPr>
          <w:b/>
          <w:i/>
          <w:lang w:val="ro-RO"/>
        </w:rPr>
      </w:pPr>
      <w:r w:rsidRPr="0091155E">
        <w:rPr>
          <w:b/>
          <w:i/>
          <w:lang w:val="ro-RO"/>
        </w:rPr>
        <w:t xml:space="preserve"> Naţionale</w:t>
      </w:r>
    </w:p>
    <w:p w:rsidR="003E7A4E" w:rsidRDefault="003E7A4E" w:rsidP="005331D2">
      <w:pPr>
        <w:numPr>
          <w:ilvl w:val="0"/>
          <w:numId w:val="23"/>
        </w:numPr>
        <w:spacing w:line="360" w:lineRule="auto"/>
        <w:jc w:val="both"/>
        <w:rPr>
          <w:lang w:val="ro-RO"/>
        </w:rPr>
      </w:pPr>
      <w:r w:rsidRPr="0091155E">
        <w:rPr>
          <w:lang w:val="ro-RO"/>
        </w:rPr>
        <w:t xml:space="preserve">Subprogramul de screening pentru identificarea pacienţilor cu factori de risc cardiovascular. </w:t>
      </w:r>
    </w:p>
    <w:p w:rsidR="007F27E1" w:rsidRPr="0091155E" w:rsidRDefault="007F27E1" w:rsidP="007F27E1">
      <w:pPr>
        <w:spacing w:line="360" w:lineRule="auto"/>
        <w:ind w:left="360"/>
        <w:jc w:val="both"/>
        <w:rPr>
          <w:lang w:val="ro-RO"/>
        </w:rPr>
      </w:pPr>
    </w:p>
    <w:p w:rsidR="003E7A4E" w:rsidRPr="0091155E" w:rsidRDefault="003E7A4E" w:rsidP="004B6025">
      <w:pPr>
        <w:numPr>
          <w:ilvl w:val="0"/>
          <w:numId w:val="46"/>
        </w:numPr>
        <w:tabs>
          <w:tab w:val="num" w:pos="1080"/>
        </w:tabs>
        <w:spacing w:line="360" w:lineRule="auto"/>
        <w:jc w:val="both"/>
        <w:rPr>
          <w:b/>
          <w:lang w:val="ro-RO"/>
        </w:rPr>
      </w:pPr>
      <w:r w:rsidRPr="0091155E">
        <w:rPr>
          <w:b/>
          <w:lang w:val="ro-RO"/>
        </w:rPr>
        <w:t>Analiza grupurilor populaţionale</w:t>
      </w:r>
    </w:p>
    <w:p w:rsidR="003E7A4E" w:rsidRPr="0091155E" w:rsidRDefault="003E7A4E" w:rsidP="00897C79">
      <w:pPr>
        <w:numPr>
          <w:ilvl w:val="0"/>
          <w:numId w:val="23"/>
        </w:numPr>
        <w:spacing w:line="360" w:lineRule="auto"/>
        <w:jc w:val="both"/>
        <w:rPr>
          <w:lang w:val="ro-RO"/>
        </w:rPr>
      </w:pPr>
      <w:r w:rsidRPr="0091155E">
        <w:rPr>
          <w:lang w:val="ro-RO"/>
        </w:rPr>
        <w:t>Prevalenţa HTA din România în raport cu sexul şi mediul de provenienţă.</w:t>
      </w:r>
    </w:p>
    <w:tbl>
      <w:tblPr>
        <w:tblStyle w:val="TableGrid"/>
        <w:tblW w:w="0" w:type="auto"/>
        <w:tblLook w:val="01E0"/>
      </w:tblPr>
      <w:tblGrid>
        <w:gridCol w:w="2132"/>
        <w:gridCol w:w="2132"/>
        <w:gridCol w:w="2132"/>
        <w:gridCol w:w="2133"/>
      </w:tblGrid>
      <w:tr w:rsidR="004B6025" w:rsidRPr="0091155E" w:rsidTr="00582256">
        <w:tc>
          <w:tcPr>
            <w:tcW w:w="4264" w:type="dxa"/>
            <w:gridSpan w:val="2"/>
            <w:tcBorders>
              <w:right w:val="triple" w:sz="4" w:space="0" w:color="auto"/>
            </w:tcBorders>
            <w:shd w:val="clear" w:color="auto" w:fill="FFFFFF"/>
          </w:tcPr>
          <w:p w:rsidR="004B6025" w:rsidRPr="0091155E" w:rsidRDefault="00582256" w:rsidP="00582256">
            <w:pPr>
              <w:spacing w:line="360" w:lineRule="auto"/>
              <w:jc w:val="center"/>
              <w:rPr>
                <w:b/>
                <w:lang w:val="ro-RO"/>
              </w:rPr>
            </w:pPr>
            <w:r w:rsidRPr="0091155E">
              <w:rPr>
                <w:b/>
                <w:lang w:val="ro-RO"/>
              </w:rPr>
              <w:t>Bărbaţi</w:t>
            </w:r>
          </w:p>
        </w:tc>
        <w:tc>
          <w:tcPr>
            <w:tcW w:w="4265" w:type="dxa"/>
            <w:gridSpan w:val="2"/>
            <w:tcBorders>
              <w:left w:val="triple" w:sz="4" w:space="0" w:color="auto"/>
            </w:tcBorders>
            <w:shd w:val="clear" w:color="auto" w:fill="FFFFFF"/>
          </w:tcPr>
          <w:p w:rsidR="004B6025" w:rsidRPr="0091155E" w:rsidRDefault="00582256" w:rsidP="00582256">
            <w:pPr>
              <w:spacing w:line="360" w:lineRule="auto"/>
              <w:jc w:val="center"/>
              <w:rPr>
                <w:b/>
                <w:lang w:val="ro-RO"/>
              </w:rPr>
            </w:pPr>
            <w:r w:rsidRPr="0091155E">
              <w:rPr>
                <w:b/>
                <w:lang w:val="ro-RO"/>
              </w:rPr>
              <w:t>Femei</w:t>
            </w:r>
          </w:p>
        </w:tc>
      </w:tr>
      <w:tr w:rsidR="00582256" w:rsidRPr="0091155E" w:rsidTr="00582256">
        <w:tc>
          <w:tcPr>
            <w:tcW w:w="2132" w:type="dxa"/>
            <w:shd w:val="clear" w:color="auto" w:fill="FFFFFF"/>
          </w:tcPr>
          <w:p w:rsidR="00582256" w:rsidRPr="0091155E" w:rsidRDefault="00582256" w:rsidP="00582256">
            <w:pPr>
              <w:spacing w:line="360" w:lineRule="auto"/>
              <w:jc w:val="center"/>
              <w:rPr>
                <w:b/>
                <w:lang w:val="ro-RO"/>
              </w:rPr>
            </w:pPr>
            <w:r w:rsidRPr="0091155E">
              <w:rPr>
                <w:b/>
                <w:lang w:val="ro-RO"/>
              </w:rPr>
              <w:t>urban</w:t>
            </w:r>
          </w:p>
        </w:tc>
        <w:tc>
          <w:tcPr>
            <w:tcW w:w="2132" w:type="dxa"/>
            <w:tcBorders>
              <w:right w:val="double" w:sz="4" w:space="0" w:color="auto"/>
            </w:tcBorders>
            <w:shd w:val="clear" w:color="auto" w:fill="E6E6E6"/>
          </w:tcPr>
          <w:p w:rsidR="00582256" w:rsidRPr="0091155E" w:rsidRDefault="00582256" w:rsidP="00582256">
            <w:pPr>
              <w:spacing w:line="360" w:lineRule="auto"/>
              <w:jc w:val="center"/>
              <w:rPr>
                <w:b/>
                <w:lang w:val="ro-RO"/>
              </w:rPr>
            </w:pPr>
            <w:r w:rsidRPr="0091155E">
              <w:rPr>
                <w:b/>
                <w:lang w:val="ro-RO"/>
              </w:rPr>
              <w:t>rural</w:t>
            </w:r>
          </w:p>
        </w:tc>
        <w:tc>
          <w:tcPr>
            <w:tcW w:w="2132" w:type="dxa"/>
            <w:tcBorders>
              <w:left w:val="double" w:sz="4" w:space="0" w:color="auto"/>
            </w:tcBorders>
            <w:shd w:val="clear" w:color="auto" w:fill="FFFFFF"/>
          </w:tcPr>
          <w:p w:rsidR="00582256" w:rsidRPr="0091155E" w:rsidRDefault="00582256" w:rsidP="00582256">
            <w:pPr>
              <w:spacing w:line="360" w:lineRule="auto"/>
              <w:jc w:val="center"/>
              <w:rPr>
                <w:b/>
                <w:lang w:val="ro-RO"/>
              </w:rPr>
            </w:pPr>
            <w:r w:rsidRPr="0091155E">
              <w:rPr>
                <w:b/>
                <w:lang w:val="ro-RO"/>
              </w:rPr>
              <w:t>urban</w:t>
            </w:r>
          </w:p>
        </w:tc>
        <w:tc>
          <w:tcPr>
            <w:tcW w:w="2133" w:type="dxa"/>
            <w:shd w:val="clear" w:color="auto" w:fill="E6E6E6"/>
          </w:tcPr>
          <w:p w:rsidR="00582256" w:rsidRPr="0091155E" w:rsidRDefault="00582256" w:rsidP="00582256">
            <w:pPr>
              <w:spacing w:line="360" w:lineRule="auto"/>
              <w:jc w:val="center"/>
              <w:rPr>
                <w:b/>
                <w:lang w:val="ro-RO"/>
              </w:rPr>
            </w:pPr>
            <w:r w:rsidRPr="0091155E">
              <w:rPr>
                <w:b/>
                <w:lang w:val="ro-RO"/>
              </w:rPr>
              <w:t>rural</w:t>
            </w:r>
          </w:p>
        </w:tc>
      </w:tr>
      <w:tr w:rsidR="00582256" w:rsidRPr="0091155E" w:rsidTr="00582256">
        <w:tc>
          <w:tcPr>
            <w:tcW w:w="2132" w:type="dxa"/>
            <w:shd w:val="clear" w:color="auto" w:fill="FFFFFF"/>
          </w:tcPr>
          <w:p w:rsidR="00582256" w:rsidRPr="0091155E" w:rsidRDefault="00582256" w:rsidP="00582256">
            <w:pPr>
              <w:spacing w:line="360" w:lineRule="auto"/>
              <w:jc w:val="center"/>
              <w:rPr>
                <w:lang w:val="ro-RO"/>
              </w:rPr>
            </w:pPr>
            <w:r w:rsidRPr="0091155E">
              <w:rPr>
                <w:lang w:val="ro-RO"/>
              </w:rPr>
              <w:t>46,6%</w:t>
            </w:r>
          </w:p>
        </w:tc>
        <w:tc>
          <w:tcPr>
            <w:tcW w:w="2132" w:type="dxa"/>
            <w:tcBorders>
              <w:right w:val="double" w:sz="4" w:space="0" w:color="auto"/>
            </w:tcBorders>
            <w:shd w:val="clear" w:color="auto" w:fill="E6E6E6"/>
          </w:tcPr>
          <w:p w:rsidR="00582256" w:rsidRPr="0091155E" w:rsidRDefault="00582256" w:rsidP="00582256">
            <w:pPr>
              <w:spacing w:line="360" w:lineRule="auto"/>
              <w:jc w:val="center"/>
              <w:rPr>
                <w:lang w:val="ro-RO"/>
              </w:rPr>
            </w:pPr>
            <w:r w:rsidRPr="0091155E">
              <w:rPr>
                <w:lang w:val="ro-RO"/>
              </w:rPr>
              <w:t>54,9%</w:t>
            </w:r>
          </w:p>
        </w:tc>
        <w:tc>
          <w:tcPr>
            <w:tcW w:w="2132" w:type="dxa"/>
            <w:tcBorders>
              <w:left w:val="double" w:sz="4" w:space="0" w:color="auto"/>
            </w:tcBorders>
            <w:shd w:val="clear" w:color="auto" w:fill="FFFFFF"/>
          </w:tcPr>
          <w:p w:rsidR="00582256" w:rsidRPr="0091155E" w:rsidRDefault="00582256" w:rsidP="00582256">
            <w:pPr>
              <w:spacing w:line="360" w:lineRule="auto"/>
              <w:jc w:val="center"/>
              <w:rPr>
                <w:lang w:val="ro-RO"/>
              </w:rPr>
            </w:pPr>
            <w:r w:rsidRPr="0091155E">
              <w:rPr>
                <w:lang w:val="ro-RO"/>
              </w:rPr>
              <w:t>38%</w:t>
            </w:r>
          </w:p>
        </w:tc>
        <w:tc>
          <w:tcPr>
            <w:tcW w:w="2133" w:type="dxa"/>
            <w:shd w:val="clear" w:color="auto" w:fill="E6E6E6"/>
          </w:tcPr>
          <w:p w:rsidR="00582256" w:rsidRPr="0091155E" w:rsidRDefault="00582256" w:rsidP="00582256">
            <w:pPr>
              <w:spacing w:line="360" w:lineRule="auto"/>
              <w:jc w:val="center"/>
              <w:rPr>
                <w:lang w:val="ro-RO"/>
              </w:rPr>
            </w:pPr>
            <w:r w:rsidRPr="0091155E">
              <w:rPr>
                <w:lang w:val="ro-RO"/>
              </w:rPr>
              <w:t>45,42%</w:t>
            </w:r>
          </w:p>
        </w:tc>
      </w:tr>
    </w:tbl>
    <w:p w:rsidR="004B6025" w:rsidRDefault="004B6025" w:rsidP="004B6025">
      <w:pPr>
        <w:spacing w:line="360" w:lineRule="auto"/>
        <w:ind w:left="1080"/>
        <w:jc w:val="both"/>
        <w:rPr>
          <w:lang w:val="ro-RO"/>
        </w:rPr>
      </w:pPr>
    </w:p>
    <w:p w:rsidR="00FD6E4E" w:rsidRDefault="00FD6E4E" w:rsidP="004B6025">
      <w:pPr>
        <w:spacing w:line="360" w:lineRule="auto"/>
        <w:ind w:left="1080"/>
        <w:jc w:val="both"/>
        <w:rPr>
          <w:lang w:val="ro-RO"/>
        </w:rPr>
      </w:pPr>
    </w:p>
    <w:p w:rsidR="00FD6E4E" w:rsidRPr="0091155E" w:rsidRDefault="00FD6E4E" w:rsidP="004B6025">
      <w:pPr>
        <w:spacing w:line="360" w:lineRule="auto"/>
        <w:ind w:left="1080"/>
        <w:jc w:val="both"/>
        <w:rPr>
          <w:lang w:val="ro-RO"/>
        </w:rPr>
      </w:pPr>
    </w:p>
    <w:p w:rsidR="003E7A4E" w:rsidRPr="0091155E" w:rsidRDefault="003E7A4E" w:rsidP="00897C79">
      <w:pPr>
        <w:numPr>
          <w:ilvl w:val="0"/>
          <w:numId w:val="23"/>
        </w:numPr>
        <w:spacing w:line="360" w:lineRule="auto"/>
        <w:jc w:val="both"/>
        <w:rPr>
          <w:lang w:val="ro-RO"/>
        </w:rPr>
      </w:pPr>
      <w:r w:rsidRPr="0091155E">
        <w:rPr>
          <w:lang w:val="ro-RO"/>
        </w:rPr>
        <w:lastRenderedPageBreak/>
        <w:t>Prevalenţa HTA pe grupe de vârstă.</w:t>
      </w:r>
    </w:p>
    <w:tbl>
      <w:tblPr>
        <w:tblStyle w:val="TableGrid"/>
        <w:tblW w:w="0" w:type="auto"/>
        <w:tblLook w:val="01E0"/>
      </w:tblPr>
      <w:tblGrid>
        <w:gridCol w:w="1421"/>
        <w:gridCol w:w="1421"/>
        <w:gridCol w:w="1421"/>
        <w:gridCol w:w="1422"/>
        <w:gridCol w:w="1422"/>
        <w:gridCol w:w="1422"/>
      </w:tblGrid>
      <w:tr w:rsidR="00582256" w:rsidRPr="0091155E" w:rsidTr="00582256">
        <w:tc>
          <w:tcPr>
            <w:tcW w:w="1421" w:type="dxa"/>
            <w:shd w:val="clear" w:color="auto" w:fill="E0E0E0"/>
          </w:tcPr>
          <w:p w:rsidR="00582256" w:rsidRPr="0091155E" w:rsidRDefault="00582256" w:rsidP="00582256">
            <w:pPr>
              <w:spacing w:line="360" w:lineRule="auto"/>
              <w:jc w:val="both"/>
              <w:rPr>
                <w:b/>
                <w:lang w:val="ro-RO"/>
              </w:rPr>
            </w:pPr>
            <w:r w:rsidRPr="0091155E">
              <w:rPr>
                <w:b/>
                <w:lang w:val="ro-RO"/>
              </w:rPr>
              <w:t xml:space="preserve">18-24 ani   </w:t>
            </w:r>
          </w:p>
        </w:tc>
        <w:tc>
          <w:tcPr>
            <w:tcW w:w="1421" w:type="dxa"/>
            <w:shd w:val="clear" w:color="auto" w:fill="E0E0E0"/>
          </w:tcPr>
          <w:p w:rsidR="00582256" w:rsidRPr="0091155E" w:rsidRDefault="00582256" w:rsidP="00582256">
            <w:pPr>
              <w:spacing w:line="360" w:lineRule="auto"/>
              <w:jc w:val="both"/>
              <w:rPr>
                <w:b/>
                <w:lang w:val="ro-RO"/>
              </w:rPr>
            </w:pPr>
            <w:r w:rsidRPr="0091155E">
              <w:rPr>
                <w:b/>
                <w:lang w:val="ro-RO"/>
              </w:rPr>
              <w:t xml:space="preserve">25-34 ani   </w:t>
            </w:r>
          </w:p>
        </w:tc>
        <w:tc>
          <w:tcPr>
            <w:tcW w:w="1421" w:type="dxa"/>
            <w:shd w:val="clear" w:color="auto" w:fill="E0E0E0"/>
          </w:tcPr>
          <w:p w:rsidR="00582256" w:rsidRPr="0091155E" w:rsidRDefault="00582256" w:rsidP="00582256">
            <w:pPr>
              <w:spacing w:line="360" w:lineRule="auto"/>
              <w:jc w:val="both"/>
              <w:rPr>
                <w:b/>
                <w:lang w:val="ro-RO"/>
              </w:rPr>
            </w:pPr>
            <w:r w:rsidRPr="0091155E">
              <w:rPr>
                <w:b/>
                <w:lang w:val="ro-RO"/>
              </w:rPr>
              <w:t xml:space="preserve">35-44 ani   </w:t>
            </w:r>
          </w:p>
        </w:tc>
        <w:tc>
          <w:tcPr>
            <w:tcW w:w="1422" w:type="dxa"/>
            <w:shd w:val="clear" w:color="auto" w:fill="E0E0E0"/>
          </w:tcPr>
          <w:p w:rsidR="00582256" w:rsidRPr="0091155E" w:rsidRDefault="00582256" w:rsidP="00582256">
            <w:pPr>
              <w:spacing w:line="360" w:lineRule="auto"/>
              <w:jc w:val="both"/>
              <w:rPr>
                <w:b/>
                <w:lang w:val="ro-RO"/>
              </w:rPr>
            </w:pPr>
            <w:r w:rsidRPr="0091155E">
              <w:rPr>
                <w:b/>
                <w:lang w:val="ro-RO"/>
              </w:rPr>
              <w:t>45-54 ani</w:t>
            </w:r>
          </w:p>
        </w:tc>
        <w:tc>
          <w:tcPr>
            <w:tcW w:w="1422" w:type="dxa"/>
            <w:shd w:val="clear" w:color="auto" w:fill="E0E0E0"/>
          </w:tcPr>
          <w:p w:rsidR="00582256" w:rsidRPr="0091155E" w:rsidRDefault="00582256" w:rsidP="00582256">
            <w:pPr>
              <w:spacing w:line="360" w:lineRule="auto"/>
              <w:jc w:val="both"/>
              <w:rPr>
                <w:b/>
                <w:lang w:val="ro-RO"/>
              </w:rPr>
            </w:pPr>
            <w:r w:rsidRPr="0091155E">
              <w:rPr>
                <w:b/>
                <w:lang w:val="ro-RO"/>
              </w:rPr>
              <w:t>55-64 ani</w:t>
            </w:r>
          </w:p>
        </w:tc>
        <w:tc>
          <w:tcPr>
            <w:tcW w:w="1422" w:type="dxa"/>
            <w:shd w:val="clear" w:color="auto" w:fill="E0E0E0"/>
          </w:tcPr>
          <w:p w:rsidR="00582256" w:rsidRPr="0091155E" w:rsidRDefault="00582256" w:rsidP="00582256">
            <w:pPr>
              <w:spacing w:line="360" w:lineRule="auto"/>
              <w:jc w:val="both"/>
              <w:rPr>
                <w:b/>
                <w:lang w:val="ro-RO"/>
              </w:rPr>
            </w:pPr>
            <w:r w:rsidRPr="0091155E">
              <w:rPr>
                <w:b/>
                <w:lang w:val="ro-RO"/>
              </w:rPr>
              <w:t>≥65 ani</w:t>
            </w:r>
          </w:p>
        </w:tc>
      </w:tr>
      <w:tr w:rsidR="00582256" w:rsidRPr="0091155E" w:rsidTr="00582256">
        <w:tc>
          <w:tcPr>
            <w:tcW w:w="1421" w:type="dxa"/>
          </w:tcPr>
          <w:p w:rsidR="00582256" w:rsidRPr="0091155E" w:rsidRDefault="00582256" w:rsidP="00582256">
            <w:pPr>
              <w:spacing w:line="360" w:lineRule="auto"/>
              <w:jc w:val="both"/>
              <w:rPr>
                <w:lang w:val="ro-RO"/>
              </w:rPr>
            </w:pPr>
            <w:r w:rsidRPr="0091155E">
              <w:rPr>
                <w:lang w:val="ro-RO"/>
              </w:rPr>
              <w:t>8,75%</w:t>
            </w:r>
          </w:p>
        </w:tc>
        <w:tc>
          <w:tcPr>
            <w:tcW w:w="1421" w:type="dxa"/>
          </w:tcPr>
          <w:p w:rsidR="00582256" w:rsidRPr="0091155E" w:rsidRDefault="00582256" w:rsidP="00582256">
            <w:pPr>
              <w:spacing w:line="360" w:lineRule="auto"/>
              <w:jc w:val="both"/>
              <w:rPr>
                <w:lang w:val="ro-RO"/>
              </w:rPr>
            </w:pPr>
            <w:r w:rsidRPr="0091155E">
              <w:rPr>
                <w:lang w:val="ro-RO"/>
              </w:rPr>
              <w:t>15%</w:t>
            </w:r>
          </w:p>
        </w:tc>
        <w:tc>
          <w:tcPr>
            <w:tcW w:w="1421" w:type="dxa"/>
          </w:tcPr>
          <w:p w:rsidR="00582256" w:rsidRPr="0091155E" w:rsidRDefault="00582256" w:rsidP="00582256">
            <w:pPr>
              <w:spacing w:line="360" w:lineRule="auto"/>
              <w:jc w:val="both"/>
              <w:rPr>
                <w:lang w:val="ro-RO"/>
              </w:rPr>
            </w:pPr>
            <w:r w:rsidRPr="0091155E">
              <w:rPr>
                <w:lang w:val="ro-RO"/>
              </w:rPr>
              <w:t>28,12%</w:t>
            </w:r>
          </w:p>
        </w:tc>
        <w:tc>
          <w:tcPr>
            <w:tcW w:w="1422" w:type="dxa"/>
          </w:tcPr>
          <w:p w:rsidR="00582256" w:rsidRPr="0091155E" w:rsidRDefault="00582256" w:rsidP="00582256">
            <w:pPr>
              <w:spacing w:line="360" w:lineRule="auto"/>
              <w:jc w:val="both"/>
              <w:rPr>
                <w:lang w:val="ro-RO"/>
              </w:rPr>
            </w:pPr>
            <w:r w:rsidRPr="0091155E">
              <w:rPr>
                <w:lang w:val="ro-RO"/>
              </w:rPr>
              <w:t>51,4%</w:t>
            </w:r>
          </w:p>
        </w:tc>
        <w:tc>
          <w:tcPr>
            <w:tcW w:w="1422" w:type="dxa"/>
          </w:tcPr>
          <w:p w:rsidR="00582256" w:rsidRPr="0091155E" w:rsidRDefault="00582256" w:rsidP="00582256">
            <w:pPr>
              <w:spacing w:line="360" w:lineRule="auto"/>
              <w:jc w:val="both"/>
              <w:rPr>
                <w:lang w:val="ro-RO"/>
              </w:rPr>
            </w:pPr>
            <w:r w:rsidRPr="0091155E">
              <w:rPr>
                <w:lang w:val="ro-RO"/>
              </w:rPr>
              <w:t>65,54%</w:t>
            </w:r>
          </w:p>
        </w:tc>
        <w:tc>
          <w:tcPr>
            <w:tcW w:w="1422" w:type="dxa"/>
          </w:tcPr>
          <w:p w:rsidR="00582256" w:rsidRPr="0091155E" w:rsidRDefault="00582256" w:rsidP="00582256">
            <w:pPr>
              <w:spacing w:line="360" w:lineRule="auto"/>
              <w:jc w:val="both"/>
              <w:rPr>
                <w:lang w:val="ro-RO"/>
              </w:rPr>
            </w:pPr>
            <w:r w:rsidRPr="0091155E">
              <w:rPr>
                <w:lang w:val="ro-RO"/>
              </w:rPr>
              <w:t>75,06%</w:t>
            </w:r>
          </w:p>
        </w:tc>
      </w:tr>
    </w:tbl>
    <w:p w:rsidR="003909AE" w:rsidRPr="0091155E" w:rsidRDefault="003E7A4E" w:rsidP="006E6D87">
      <w:pPr>
        <w:jc w:val="both"/>
        <w:rPr>
          <w:i/>
          <w:lang w:val="ro-RO"/>
        </w:rPr>
      </w:pPr>
      <w:r w:rsidRPr="0091155E">
        <w:rPr>
          <w:lang w:val="ro-RO"/>
        </w:rPr>
        <w:t>(</w:t>
      </w:r>
      <w:r w:rsidR="00897C79" w:rsidRPr="0091155E">
        <w:rPr>
          <w:lang w:val="ro-RO"/>
        </w:rPr>
        <w:t xml:space="preserve">Sursa - </w:t>
      </w:r>
      <w:r w:rsidR="005331D2" w:rsidRPr="0091155E">
        <w:rPr>
          <w:lang w:val="ro-RO"/>
        </w:rPr>
        <w:t>Prevalence, Awareness, Treatment, and Control of Hypertension in Romania:</w:t>
      </w:r>
      <w:r w:rsidR="009A7793" w:rsidRPr="0091155E">
        <w:rPr>
          <w:lang w:val="ro-RO"/>
        </w:rPr>
        <w:t xml:space="preserve"> </w:t>
      </w:r>
      <w:r w:rsidR="005331D2" w:rsidRPr="0091155E">
        <w:rPr>
          <w:lang w:val="ro-RO"/>
        </w:rPr>
        <w:t>Results of the SEPHAR Study</w:t>
      </w:r>
      <w:r w:rsidRPr="0091155E">
        <w:rPr>
          <w:lang w:val="ro-RO"/>
        </w:rPr>
        <w:t xml:space="preserve">, </w:t>
      </w:r>
      <w:r w:rsidRPr="0091155E">
        <w:rPr>
          <w:i/>
          <w:lang w:val="ro-RO"/>
        </w:rPr>
        <w:t>International Journal of Hypertension, vol. 2010)</w:t>
      </w:r>
    </w:p>
    <w:p w:rsidR="00C97B2A" w:rsidRPr="0091155E" w:rsidRDefault="00C97B2A" w:rsidP="003909AE">
      <w:pPr>
        <w:spacing w:line="360" w:lineRule="auto"/>
        <w:jc w:val="both"/>
        <w:rPr>
          <w:b/>
          <w:lang w:val="ro-RO"/>
        </w:rPr>
      </w:pPr>
    </w:p>
    <w:p w:rsidR="003E7A4E" w:rsidRPr="0091155E" w:rsidRDefault="003E7A4E" w:rsidP="003909AE">
      <w:pPr>
        <w:spacing w:line="360" w:lineRule="auto"/>
        <w:jc w:val="both"/>
        <w:rPr>
          <w:b/>
          <w:i/>
          <w:lang w:val="ro-RO"/>
        </w:rPr>
      </w:pPr>
      <w:r w:rsidRPr="0091155E">
        <w:rPr>
          <w:b/>
          <w:lang w:val="ro-RO"/>
        </w:rPr>
        <w:t xml:space="preserve">Grupe de risc ale pacienţilor cu HTA </w:t>
      </w:r>
      <w:r w:rsidRPr="0091155E">
        <w:rPr>
          <w:b/>
          <w:i/>
          <w:lang w:val="ro-RO"/>
        </w:rPr>
        <w:t>(Conform Ghidului de diagnostic şi tratament Hipertensiunea Arterială, elaborat de Comisia de Cardiologie)</w:t>
      </w:r>
    </w:p>
    <w:p w:rsidR="00237DB9" w:rsidRPr="0091155E" w:rsidRDefault="00237DB9" w:rsidP="00237DB9">
      <w:pPr>
        <w:spacing w:line="360" w:lineRule="auto"/>
        <w:jc w:val="both"/>
        <w:rPr>
          <w:b/>
          <w:i/>
          <w:lang w:val="ro-RO"/>
        </w:rPr>
      </w:pPr>
    </w:p>
    <w:p w:rsidR="003E7A4E" w:rsidRPr="0091155E" w:rsidRDefault="003E7A4E" w:rsidP="00720F25">
      <w:pPr>
        <w:numPr>
          <w:ilvl w:val="0"/>
          <w:numId w:val="23"/>
        </w:numPr>
        <w:spacing w:line="360" w:lineRule="auto"/>
        <w:jc w:val="both"/>
        <w:rPr>
          <w:b/>
          <w:i/>
          <w:lang w:val="ro-RO"/>
        </w:rPr>
      </w:pPr>
      <w:r w:rsidRPr="0091155E">
        <w:rPr>
          <w:b/>
          <w:i/>
          <w:lang w:val="ro-RO"/>
        </w:rPr>
        <w:t xml:space="preserve">Grupa cu risc scăzut </w:t>
      </w:r>
    </w:p>
    <w:p w:rsidR="003E7A4E" w:rsidRPr="0091155E" w:rsidRDefault="003E7A4E" w:rsidP="003E7A4E">
      <w:pPr>
        <w:numPr>
          <w:ilvl w:val="1"/>
          <w:numId w:val="3"/>
        </w:numPr>
        <w:spacing w:line="360" w:lineRule="auto"/>
        <w:jc w:val="both"/>
        <w:rPr>
          <w:lang w:val="ro-RO"/>
        </w:rPr>
      </w:pPr>
      <w:r w:rsidRPr="0091155E">
        <w:rPr>
          <w:lang w:val="ro-RO"/>
        </w:rPr>
        <w:t>bărbaţi &lt; 55 ani şi femei &lt;65 ani cu HTA de gradul I</w:t>
      </w:r>
    </w:p>
    <w:p w:rsidR="003E7A4E" w:rsidRPr="0091155E" w:rsidRDefault="003E7A4E" w:rsidP="003E7A4E">
      <w:pPr>
        <w:numPr>
          <w:ilvl w:val="1"/>
          <w:numId w:val="3"/>
        </w:numPr>
        <w:spacing w:line="360" w:lineRule="auto"/>
        <w:jc w:val="both"/>
        <w:rPr>
          <w:lang w:val="ro-RO"/>
        </w:rPr>
      </w:pPr>
      <w:r w:rsidRPr="0091155E">
        <w:rPr>
          <w:lang w:val="ro-RO"/>
        </w:rPr>
        <w:t>fără factori de risc</w:t>
      </w:r>
    </w:p>
    <w:p w:rsidR="003E7A4E" w:rsidRPr="0091155E" w:rsidRDefault="003E7A4E" w:rsidP="003E7A4E">
      <w:pPr>
        <w:numPr>
          <w:ilvl w:val="1"/>
          <w:numId w:val="3"/>
        </w:numPr>
        <w:spacing w:line="360" w:lineRule="auto"/>
        <w:jc w:val="both"/>
        <w:rPr>
          <w:lang w:val="ro-RO"/>
        </w:rPr>
      </w:pPr>
      <w:r w:rsidRPr="0091155E">
        <w:rPr>
          <w:lang w:val="ro-RO"/>
        </w:rPr>
        <w:t>riscul de eveniment CV major în următorii 10 ani este de 15%</w:t>
      </w:r>
    </w:p>
    <w:p w:rsidR="003E7A4E" w:rsidRPr="0091155E" w:rsidRDefault="003E7A4E" w:rsidP="00720F25">
      <w:pPr>
        <w:numPr>
          <w:ilvl w:val="0"/>
          <w:numId w:val="23"/>
        </w:numPr>
        <w:spacing w:line="360" w:lineRule="auto"/>
        <w:jc w:val="both"/>
        <w:rPr>
          <w:b/>
          <w:i/>
          <w:lang w:val="ro-RO"/>
        </w:rPr>
      </w:pPr>
      <w:r w:rsidRPr="0091155E">
        <w:rPr>
          <w:b/>
          <w:i/>
          <w:lang w:val="ro-RO"/>
        </w:rPr>
        <w:t>Grupa de risc mediu</w:t>
      </w:r>
    </w:p>
    <w:p w:rsidR="003E7A4E" w:rsidRPr="0091155E" w:rsidRDefault="003E7A4E" w:rsidP="003E7A4E">
      <w:pPr>
        <w:numPr>
          <w:ilvl w:val="1"/>
          <w:numId w:val="3"/>
        </w:numPr>
        <w:spacing w:line="360" w:lineRule="auto"/>
        <w:jc w:val="both"/>
        <w:rPr>
          <w:lang w:val="ro-RO"/>
        </w:rPr>
      </w:pPr>
      <w:r w:rsidRPr="0091155E">
        <w:rPr>
          <w:lang w:val="ro-RO"/>
        </w:rPr>
        <w:t>pacienţi cu HTA de niveluri diferite</w:t>
      </w:r>
    </w:p>
    <w:p w:rsidR="003E7A4E" w:rsidRPr="0091155E" w:rsidRDefault="003E7A4E" w:rsidP="003E7A4E">
      <w:pPr>
        <w:numPr>
          <w:ilvl w:val="1"/>
          <w:numId w:val="3"/>
        </w:numPr>
        <w:spacing w:line="360" w:lineRule="auto"/>
        <w:jc w:val="both"/>
        <w:rPr>
          <w:lang w:val="ro-RO"/>
        </w:rPr>
      </w:pPr>
      <w:r w:rsidRPr="0091155E">
        <w:rPr>
          <w:lang w:val="ro-RO"/>
        </w:rPr>
        <w:t>prezenţa mai multor factori de risc</w:t>
      </w:r>
    </w:p>
    <w:p w:rsidR="003E7A4E" w:rsidRPr="0091155E" w:rsidRDefault="003E7A4E" w:rsidP="003E7A4E">
      <w:pPr>
        <w:numPr>
          <w:ilvl w:val="1"/>
          <w:numId w:val="3"/>
        </w:numPr>
        <w:spacing w:line="360" w:lineRule="auto"/>
        <w:jc w:val="both"/>
        <w:rPr>
          <w:lang w:val="ro-RO"/>
        </w:rPr>
      </w:pPr>
      <w:r w:rsidRPr="0091155E">
        <w:rPr>
          <w:lang w:val="ro-RO"/>
        </w:rPr>
        <w:t xml:space="preserve"> riscul de eveniment CV major în următorii 10 ani este de 15%- 20%</w:t>
      </w:r>
    </w:p>
    <w:p w:rsidR="003E7A4E" w:rsidRPr="0091155E" w:rsidRDefault="003E7A4E" w:rsidP="00720F25">
      <w:pPr>
        <w:numPr>
          <w:ilvl w:val="0"/>
          <w:numId w:val="23"/>
        </w:numPr>
        <w:spacing w:line="360" w:lineRule="auto"/>
        <w:jc w:val="both"/>
        <w:rPr>
          <w:b/>
          <w:i/>
          <w:lang w:val="ro-RO"/>
        </w:rPr>
      </w:pPr>
      <w:r w:rsidRPr="0091155E">
        <w:rPr>
          <w:b/>
          <w:i/>
          <w:lang w:val="ro-RO"/>
        </w:rPr>
        <w:t>Grupa de risc înalt</w:t>
      </w:r>
    </w:p>
    <w:p w:rsidR="003E7A4E" w:rsidRPr="0091155E" w:rsidRDefault="003E7A4E" w:rsidP="003E7A4E">
      <w:pPr>
        <w:numPr>
          <w:ilvl w:val="1"/>
          <w:numId w:val="3"/>
        </w:numPr>
        <w:spacing w:line="360" w:lineRule="auto"/>
        <w:jc w:val="both"/>
        <w:rPr>
          <w:lang w:val="ro-RO"/>
        </w:rPr>
      </w:pPr>
      <w:r w:rsidRPr="0091155E">
        <w:rPr>
          <w:lang w:val="ro-RO"/>
        </w:rPr>
        <w:t>pacienţi cu HTA de gradul 1 şi 2 care au 3 sau mai mulţi factori d</w:t>
      </w:r>
      <w:r w:rsidR="009A7793" w:rsidRPr="0091155E">
        <w:rPr>
          <w:lang w:val="ro-RO"/>
        </w:rPr>
        <w:t>e risc asociaţi, diabet sau afe</w:t>
      </w:r>
      <w:r w:rsidRPr="0091155E">
        <w:rPr>
          <w:lang w:val="ro-RO"/>
        </w:rPr>
        <w:t>c</w:t>
      </w:r>
      <w:r w:rsidR="009A7793" w:rsidRPr="0091155E">
        <w:rPr>
          <w:lang w:val="ro-RO"/>
        </w:rPr>
        <w:t>t</w:t>
      </w:r>
      <w:r w:rsidRPr="0091155E">
        <w:rPr>
          <w:lang w:val="ro-RO"/>
        </w:rPr>
        <w:t>area organelor ţintă</w:t>
      </w:r>
    </w:p>
    <w:p w:rsidR="003E7A4E" w:rsidRPr="0091155E" w:rsidRDefault="003E7A4E" w:rsidP="003E7A4E">
      <w:pPr>
        <w:numPr>
          <w:ilvl w:val="1"/>
          <w:numId w:val="3"/>
        </w:numPr>
        <w:spacing w:line="360" w:lineRule="auto"/>
        <w:jc w:val="both"/>
        <w:rPr>
          <w:lang w:val="ro-RO"/>
        </w:rPr>
      </w:pPr>
      <w:r w:rsidRPr="0091155E">
        <w:rPr>
          <w:lang w:val="ro-RO"/>
        </w:rPr>
        <w:t>pacienţi cu HTA severă fără factori de risc asociaţi</w:t>
      </w:r>
    </w:p>
    <w:p w:rsidR="003E7A4E" w:rsidRPr="0091155E" w:rsidRDefault="003E7A4E" w:rsidP="003E7A4E">
      <w:pPr>
        <w:numPr>
          <w:ilvl w:val="1"/>
          <w:numId w:val="3"/>
        </w:numPr>
        <w:spacing w:line="360" w:lineRule="auto"/>
        <w:jc w:val="both"/>
        <w:rPr>
          <w:lang w:val="ro-RO"/>
        </w:rPr>
      </w:pPr>
      <w:r w:rsidRPr="0091155E">
        <w:rPr>
          <w:lang w:val="ro-RO"/>
        </w:rPr>
        <w:t>risc de eveniment CV major la 10 ani este de 20-30%</w:t>
      </w:r>
    </w:p>
    <w:p w:rsidR="003E7A4E" w:rsidRPr="0091155E" w:rsidRDefault="003E7A4E" w:rsidP="00720F25">
      <w:pPr>
        <w:numPr>
          <w:ilvl w:val="0"/>
          <w:numId w:val="23"/>
        </w:numPr>
        <w:spacing w:line="360" w:lineRule="auto"/>
        <w:jc w:val="both"/>
        <w:rPr>
          <w:b/>
          <w:i/>
          <w:lang w:val="ro-RO"/>
        </w:rPr>
      </w:pPr>
      <w:r w:rsidRPr="0091155E">
        <w:rPr>
          <w:b/>
          <w:i/>
          <w:lang w:val="ro-RO"/>
        </w:rPr>
        <w:t>Grupa de risc foarte înalt</w:t>
      </w:r>
    </w:p>
    <w:p w:rsidR="003E7A4E" w:rsidRPr="0091155E" w:rsidRDefault="003E7A4E" w:rsidP="003E7A4E">
      <w:pPr>
        <w:numPr>
          <w:ilvl w:val="1"/>
          <w:numId w:val="3"/>
        </w:numPr>
        <w:spacing w:line="360" w:lineRule="auto"/>
        <w:jc w:val="both"/>
        <w:rPr>
          <w:lang w:val="ro-RO"/>
        </w:rPr>
      </w:pPr>
      <w:r w:rsidRPr="0091155E">
        <w:rPr>
          <w:lang w:val="ro-RO"/>
        </w:rPr>
        <w:t>pacienţi cu HTA gradul 3 şi unul sau mai mulţi factori de risc asociaţi</w:t>
      </w:r>
    </w:p>
    <w:p w:rsidR="003E7A4E" w:rsidRPr="0091155E" w:rsidRDefault="003E7A4E" w:rsidP="003E7A4E">
      <w:pPr>
        <w:numPr>
          <w:ilvl w:val="1"/>
          <w:numId w:val="3"/>
        </w:numPr>
        <w:spacing w:line="360" w:lineRule="auto"/>
        <w:jc w:val="both"/>
        <w:rPr>
          <w:lang w:val="ro-RO"/>
        </w:rPr>
      </w:pPr>
      <w:r w:rsidRPr="0091155E">
        <w:rPr>
          <w:lang w:val="ro-RO"/>
        </w:rPr>
        <w:t>toţi pacienţii cu BCV clinic manifestă sau boală renală</w:t>
      </w:r>
    </w:p>
    <w:p w:rsidR="003E7A4E" w:rsidRPr="0091155E" w:rsidRDefault="003E7A4E" w:rsidP="003E7A4E">
      <w:pPr>
        <w:numPr>
          <w:ilvl w:val="1"/>
          <w:numId w:val="3"/>
        </w:numPr>
        <w:spacing w:line="360" w:lineRule="auto"/>
        <w:jc w:val="both"/>
        <w:rPr>
          <w:lang w:val="ro-RO"/>
        </w:rPr>
      </w:pPr>
      <w:r w:rsidRPr="0091155E">
        <w:rPr>
          <w:lang w:val="ro-RO"/>
        </w:rPr>
        <w:t>Risc de evenimente CV majore de circa ≥30% în 10 ani.</w:t>
      </w:r>
    </w:p>
    <w:p w:rsidR="003E7A4E" w:rsidRPr="0091155E" w:rsidRDefault="003E7A4E" w:rsidP="003E7A4E">
      <w:pPr>
        <w:spacing w:line="360" w:lineRule="auto"/>
        <w:ind w:left="1800"/>
        <w:jc w:val="both"/>
        <w:rPr>
          <w:lang w:val="ro-RO"/>
        </w:rPr>
      </w:pPr>
    </w:p>
    <w:p w:rsidR="003E7A4E" w:rsidRPr="0091155E" w:rsidRDefault="003E7A4E" w:rsidP="005F402D">
      <w:pPr>
        <w:numPr>
          <w:ilvl w:val="0"/>
          <w:numId w:val="46"/>
        </w:numPr>
        <w:tabs>
          <w:tab w:val="num" w:pos="1080"/>
        </w:tabs>
        <w:spacing w:line="360" w:lineRule="auto"/>
        <w:jc w:val="both"/>
        <w:rPr>
          <w:b/>
          <w:lang w:val="ro-RO"/>
        </w:rPr>
      </w:pPr>
      <w:r w:rsidRPr="0091155E">
        <w:rPr>
          <w:b/>
          <w:lang w:val="ro-RO"/>
        </w:rPr>
        <w:t>Situaţia Campaniilor IEC la nivel naţional</w:t>
      </w:r>
    </w:p>
    <w:p w:rsidR="00827EF3" w:rsidRPr="0091155E" w:rsidRDefault="00827EF3" w:rsidP="00827EF3">
      <w:pPr>
        <w:tabs>
          <w:tab w:val="num" w:pos="1080"/>
        </w:tabs>
        <w:spacing w:line="360" w:lineRule="auto"/>
        <w:ind w:left="360"/>
        <w:jc w:val="both"/>
        <w:rPr>
          <w:b/>
          <w:lang w:val="ro-RO"/>
        </w:rPr>
      </w:pPr>
    </w:p>
    <w:p w:rsidR="00710C87" w:rsidRPr="0091155E" w:rsidRDefault="003E7A4E" w:rsidP="000B4DAA">
      <w:pPr>
        <w:numPr>
          <w:ilvl w:val="1"/>
          <w:numId w:val="46"/>
        </w:numPr>
        <w:spacing w:line="360" w:lineRule="auto"/>
        <w:jc w:val="both"/>
        <w:rPr>
          <w:b/>
          <w:i/>
          <w:lang w:val="ro-RO"/>
        </w:rPr>
      </w:pPr>
      <w:r w:rsidRPr="0091155E">
        <w:rPr>
          <w:lang w:val="ro-RO"/>
        </w:rPr>
        <w:t>CRSP Cluj</w:t>
      </w:r>
      <w:r w:rsidR="000B4DAA" w:rsidRPr="0091155E">
        <w:rPr>
          <w:lang w:val="ro-RO"/>
        </w:rPr>
        <w:t xml:space="preserve"> </w:t>
      </w:r>
      <w:r w:rsidRPr="0091155E">
        <w:rPr>
          <w:lang w:val="ro-RO"/>
        </w:rPr>
        <w:t>- 17. 05. 2010 – 17.06.2010</w:t>
      </w:r>
      <w:r w:rsidR="000B4DAA" w:rsidRPr="0091155E">
        <w:rPr>
          <w:lang w:val="ro-RO"/>
        </w:rPr>
        <w:t xml:space="preserve">. </w:t>
      </w:r>
      <w:r w:rsidRPr="0091155E">
        <w:rPr>
          <w:lang w:val="ro-RO"/>
        </w:rPr>
        <w:t xml:space="preserve">Campania cu tema – </w:t>
      </w:r>
      <w:r w:rsidRPr="0091155E">
        <w:rPr>
          <w:b/>
          <w:i/>
          <w:lang w:val="ro-RO"/>
        </w:rPr>
        <w:t>“Greutate normală, tensiune arterială normală”</w:t>
      </w:r>
    </w:p>
    <w:p w:rsidR="000B4DAA" w:rsidRPr="0091155E" w:rsidRDefault="000B4DAA" w:rsidP="000B4DAA">
      <w:pPr>
        <w:numPr>
          <w:ilvl w:val="1"/>
          <w:numId w:val="46"/>
        </w:numPr>
        <w:spacing w:line="360" w:lineRule="auto"/>
        <w:jc w:val="both"/>
        <w:rPr>
          <w:b/>
          <w:i/>
          <w:lang w:val="ro-RO"/>
        </w:rPr>
      </w:pPr>
      <w:r w:rsidRPr="0091155E">
        <w:rPr>
          <w:lang w:val="ro-RO"/>
        </w:rPr>
        <w:t xml:space="preserve">CRSP Cluj 17.05.2011 – 31.05.2011. Campania cu tema – </w:t>
      </w:r>
      <w:r w:rsidRPr="0091155E">
        <w:rPr>
          <w:b/>
          <w:i/>
          <w:lang w:val="ro-RO"/>
        </w:rPr>
        <w:t xml:space="preserve">„Cunoaşte-ţi valorile, ţinteşte o tensiune arterială normală” </w:t>
      </w:r>
    </w:p>
    <w:p w:rsidR="003538FC" w:rsidRPr="0091155E" w:rsidRDefault="003538FC" w:rsidP="000B4DAA">
      <w:pPr>
        <w:numPr>
          <w:ilvl w:val="1"/>
          <w:numId w:val="46"/>
        </w:numPr>
        <w:spacing w:line="360" w:lineRule="auto"/>
        <w:jc w:val="both"/>
        <w:rPr>
          <w:lang w:val="ro-RO"/>
        </w:rPr>
      </w:pPr>
      <w:r w:rsidRPr="0091155E">
        <w:rPr>
          <w:lang w:val="ro-RO"/>
        </w:rPr>
        <w:lastRenderedPageBreak/>
        <w:t xml:space="preserve">CRSP Cluj 17.05.2012 – 30.05.2012. Campania cu tema – </w:t>
      </w:r>
      <w:r w:rsidRPr="0091155E">
        <w:rPr>
          <w:b/>
          <w:i/>
          <w:lang w:val="ro-RO"/>
        </w:rPr>
        <w:t>„Un stil de viaţă sănătos, o tensiune arterială normală”</w:t>
      </w:r>
    </w:p>
    <w:p w:rsidR="003C1AFC" w:rsidRPr="0091155E" w:rsidRDefault="003C1AFC" w:rsidP="000B4DAA">
      <w:pPr>
        <w:numPr>
          <w:ilvl w:val="1"/>
          <w:numId w:val="46"/>
        </w:numPr>
        <w:spacing w:line="360" w:lineRule="auto"/>
        <w:jc w:val="both"/>
        <w:rPr>
          <w:b/>
          <w:i/>
          <w:lang w:val="ro-RO"/>
        </w:rPr>
      </w:pPr>
      <w:r w:rsidRPr="0091155E">
        <w:rPr>
          <w:lang w:val="ro-RO"/>
        </w:rPr>
        <w:t>CRSP Cluj 17.05.2014</w:t>
      </w:r>
      <w:r w:rsidR="00C45CA5" w:rsidRPr="0091155E">
        <w:rPr>
          <w:lang w:val="ro-RO"/>
        </w:rPr>
        <w:t>. Campania cu tema</w:t>
      </w:r>
      <w:r w:rsidRPr="0091155E">
        <w:rPr>
          <w:lang w:val="ro-RO"/>
        </w:rPr>
        <w:t xml:space="preserve"> - </w:t>
      </w:r>
      <w:r w:rsidRPr="0091155E">
        <w:rPr>
          <w:b/>
          <w:i/>
        </w:rPr>
        <w:t>„</w:t>
      </w:r>
      <w:proofErr w:type="spellStart"/>
      <w:r w:rsidRPr="0091155E">
        <w:rPr>
          <w:b/>
          <w:i/>
        </w:rPr>
        <w:t>Fii</w:t>
      </w:r>
      <w:proofErr w:type="spellEnd"/>
      <w:r w:rsidRPr="0091155E">
        <w:rPr>
          <w:b/>
          <w:i/>
        </w:rPr>
        <w:t xml:space="preserve"> </w:t>
      </w:r>
      <w:proofErr w:type="spellStart"/>
      <w:r w:rsidRPr="0091155E">
        <w:rPr>
          <w:b/>
          <w:i/>
        </w:rPr>
        <w:t>responsabil</w:t>
      </w:r>
      <w:proofErr w:type="spellEnd"/>
      <w:r w:rsidRPr="0091155E">
        <w:rPr>
          <w:b/>
          <w:i/>
        </w:rPr>
        <w:t xml:space="preserve"> </w:t>
      </w:r>
      <w:proofErr w:type="spellStart"/>
      <w:r w:rsidRPr="0091155E">
        <w:rPr>
          <w:b/>
          <w:i/>
        </w:rPr>
        <w:t>pentru</w:t>
      </w:r>
      <w:proofErr w:type="spellEnd"/>
      <w:r w:rsidRPr="0091155E">
        <w:rPr>
          <w:b/>
          <w:i/>
        </w:rPr>
        <w:t xml:space="preserve"> </w:t>
      </w:r>
      <w:proofErr w:type="spellStart"/>
      <w:r w:rsidRPr="0091155E">
        <w:rPr>
          <w:b/>
          <w:i/>
        </w:rPr>
        <w:t>sănătatea</w:t>
      </w:r>
      <w:proofErr w:type="spellEnd"/>
      <w:r w:rsidRPr="0091155E">
        <w:rPr>
          <w:b/>
          <w:i/>
        </w:rPr>
        <w:t xml:space="preserve"> </w:t>
      </w:r>
      <w:proofErr w:type="spellStart"/>
      <w:r w:rsidRPr="0091155E">
        <w:rPr>
          <w:b/>
          <w:i/>
        </w:rPr>
        <w:t>ta</w:t>
      </w:r>
      <w:proofErr w:type="spellEnd"/>
      <w:r w:rsidRPr="0091155E">
        <w:rPr>
          <w:b/>
          <w:i/>
        </w:rPr>
        <w:t xml:space="preserve"> – </w:t>
      </w:r>
      <w:proofErr w:type="spellStart"/>
      <w:r w:rsidRPr="0091155E">
        <w:rPr>
          <w:b/>
          <w:i/>
        </w:rPr>
        <w:t>măsoară-ţi</w:t>
      </w:r>
      <w:proofErr w:type="spellEnd"/>
      <w:r w:rsidRPr="0091155E">
        <w:rPr>
          <w:b/>
          <w:i/>
        </w:rPr>
        <w:t xml:space="preserve"> </w:t>
      </w:r>
      <w:proofErr w:type="spellStart"/>
      <w:r w:rsidRPr="0091155E">
        <w:rPr>
          <w:b/>
          <w:i/>
        </w:rPr>
        <w:t>tensiunea</w:t>
      </w:r>
      <w:proofErr w:type="spellEnd"/>
      <w:r w:rsidRPr="0091155E">
        <w:rPr>
          <w:b/>
          <w:i/>
        </w:rPr>
        <w:t>!”</w:t>
      </w:r>
    </w:p>
    <w:p w:rsidR="00881A89" w:rsidRPr="002A7CDB" w:rsidRDefault="00881A89" w:rsidP="000B4DAA">
      <w:pPr>
        <w:numPr>
          <w:ilvl w:val="1"/>
          <w:numId w:val="46"/>
        </w:numPr>
        <w:spacing w:line="360" w:lineRule="auto"/>
        <w:jc w:val="both"/>
        <w:rPr>
          <w:b/>
          <w:i/>
          <w:lang w:val="ro-RO"/>
        </w:rPr>
      </w:pPr>
      <w:r w:rsidRPr="0091155E">
        <w:rPr>
          <w:lang w:val="ro-RO"/>
        </w:rPr>
        <w:t>CRSP Cluj 17.05.2015. Campania cu tema -</w:t>
      </w:r>
      <w:r w:rsidR="00517105" w:rsidRPr="0091155E">
        <w:rPr>
          <w:lang w:val="ro-RO"/>
        </w:rPr>
        <w:t xml:space="preserve"> </w:t>
      </w:r>
      <w:r w:rsidR="00517105" w:rsidRPr="0091155E">
        <w:rPr>
          <w:b/>
          <w:i/>
        </w:rPr>
        <w:t>„</w:t>
      </w:r>
      <w:proofErr w:type="spellStart"/>
      <w:r w:rsidR="00517105" w:rsidRPr="0091155E">
        <w:rPr>
          <w:b/>
          <w:i/>
        </w:rPr>
        <w:t>Ia</w:t>
      </w:r>
      <w:proofErr w:type="spellEnd"/>
      <w:r w:rsidR="00517105" w:rsidRPr="0091155E">
        <w:rPr>
          <w:b/>
          <w:i/>
        </w:rPr>
        <w:t xml:space="preserve"> </w:t>
      </w:r>
      <w:proofErr w:type="spellStart"/>
      <w:r w:rsidR="00517105" w:rsidRPr="0091155E">
        <w:rPr>
          <w:b/>
          <w:i/>
        </w:rPr>
        <w:t>atitudine</w:t>
      </w:r>
      <w:proofErr w:type="spellEnd"/>
      <w:r w:rsidR="00517105" w:rsidRPr="0091155E">
        <w:rPr>
          <w:b/>
          <w:i/>
        </w:rPr>
        <w:t xml:space="preserve">! </w:t>
      </w:r>
      <w:proofErr w:type="spellStart"/>
      <w:r w:rsidR="00517105" w:rsidRPr="0091155E">
        <w:rPr>
          <w:b/>
          <w:i/>
        </w:rPr>
        <w:t>Apără-ți</w:t>
      </w:r>
      <w:proofErr w:type="spellEnd"/>
      <w:r w:rsidR="00517105" w:rsidRPr="0091155E">
        <w:rPr>
          <w:b/>
          <w:i/>
        </w:rPr>
        <w:t xml:space="preserve"> </w:t>
      </w:r>
      <w:proofErr w:type="spellStart"/>
      <w:r w:rsidR="00517105" w:rsidRPr="0091155E">
        <w:rPr>
          <w:b/>
          <w:i/>
        </w:rPr>
        <w:t>sănătatea</w:t>
      </w:r>
      <w:proofErr w:type="spellEnd"/>
      <w:r w:rsidR="00517105" w:rsidRPr="0091155E">
        <w:rPr>
          <w:b/>
          <w:i/>
        </w:rPr>
        <w:t>!”</w:t>
      </w:r>
    </w:p>
    <w:p w:rsidR="002A7CDB" w:rsidRPr="002A7CDB" w:rsidRDefault="002A7CDB" w:rsidP="002A7CDB">
      <w:pPr>
        <w:numPr>
          <w:ilvl w:val="1"/>
          <w:numId w:val="46"/>
        </w:numPr>
        <w:spacing w:line="360" w:lineRule="auto"/>
        <w:jc w:val="both"/>
        <w:rPr>
          <w:b/>
          <w:i/>
          <w:lang w:val="ro-RO"/>
        </w:rPr>
      </w:pPr>
      <w:r w:rsidRPr="0091155E">
        <w:rPr>
          <w:lang w:val="ro-RO"/>
        </w:rPr>
        <w:t>CRSP Cluj 17.05.2015. Campania cu tema</w:t>
      </w:r>
      <w:r>
        <w:rPr>
          <w:lang w:val="ro-RO"/>
        </w:rPr>
        <w:t xml:space="preserve"> - </w:t>
      </w:r>
      <w:r w:rsidRPr="002A7CDB">
        <w:rPr>
          <w:b/>
          <w:i/>
        </w:rPr>
        <w:t>„</w:t>
      </w:r>
      <w:r w:rsidRPr="002A7CDB">
        <w:rPr>
          <w:b/>
          <w:i/>
          <w:lang w:val="ro-RO"/>
        </w:rPr>
        <w:t>Pentru o inimă sănătoasă e timpul să îți cunoști presiunea arterială</w:t>
      </w:r>
      <w:r w:rsidRPr="002A7CDB">
        <w:rPr>
          <w:b/>
          <w:i/>
        </w:rPr>
        <w:t>!”</w:t>
      </w:r>
    </w:p>
    <w:p w:rsidR="002A7CDB" w:rsidRPr="0091155E" w:rsidRDefault="002A7CDB" w:rsidP="002A7CDB">
      <w:pPr>
        <w:spacing w:line="360" w:lineRule="auto"/>
        <w:ind w:left="1080"/>
        <w:jc w:val="both"/>
        <w:rPr>
          <w:b/>
          <w:i/>
          <w:lang w:val="ro-RO"/>
        </w:rPr>
      </w:pPr>
    </w:p>
    <w:sectPr w:rsidR="002A7CDB" w:rsidRPr="0091155E" w:rsidSect="004344AA">
      <w:pgSz w:w="11907" w:h="16840"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19D" w:rsidRDefault="00BB019D">
      <w:r>
        <w:separator/>
      </w:r>
    </w:p>
  </w:endnote>
  <w:endnote w:type="continuationSeparator" w:id="1">
    <w:p w:rsidR="00BB019D" w:rsidRDefault="00BB01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19D" w:rsidRDefault="00BB019D">
      <w:r>
        <w:separator/>
      </w:r>
    </w:p>
  </w:footnote>
  <w:footnote w:type="continuationSeparator" w:id="1">
    <w:p w:rsidR="00BB019D" w:rsidRDefault="00BB019D">
      <w:r>
        <w:continuationSeparator/>
      </w:r>
    </w:p>
  </w:footnote>
  <w:footnote w:id="2">
    <w:p w:rsidR="00237DB9" w:rsidRPr="0091155E" w:rsidRDefault="00237DB9" w:rsidP="00B555EA">
      <w:pPr>
        <w:pStyle w:val="FootnoteText"/>
        <w:jc w:val="both"/>
      </w:pPr>
      <w:r w:rsidRPr="0091155E">
        <w:rPr>
          <w:rStyle w:val="FootnoteReference"/>
          <w:vertAlign w:val="baseline"/>
        </w:rPr>
        <w:footnoteRef/>
      </w:r>
      <w:r w:rsidR="00AB584B" w:rsidRPr="0091155E">
        <w:t>.</w:t>
      </w:r>
      <w:r w:rsidRPr="0091155E">
        <w:t xml:space="preserve"> Lim SS, </w:t>
      </w:r>
      <w:proofErr w:type="spellStart"/>
      <w:r w:rsidRPr="0091155E">
        <w:t>Vos</w:t>
      </w:r>
      <w:proofErr w:type="spellEnd"/>
      <w:r w:rsidRPr="0091155E">
        <w:t xml:space="preserve"> T, Flaxman AD, </w:t>
      </w:r>
      <w:proofErr w:type="spellStart"/>
      <w:r w:rsidRPr="0091155E">
        <w:t>Danaei</w:t>
      </w:r>
      <w:proofErr w:type="spellEnd"/>
      <w:r w:rsidRPr="0091155E">
        <w:t xml:space="preserve"> G, Shibuya K, Adair-</w:t>
      </w:r>
      <w:proofErr w:type="spellStart"/>
      <w:r w:rsidRPr="0091155E">
        <w:t>Rohani</w:t>
      </w:r>
      <w:proofErr w:type="spellEnd"/>
      <w:r w:rsidRPr="0091155E">
        <w:t xml:space="preserve"> H et al. A comparative risk assessment of burden of disease and injury attributable to 67 risk factors and risk factor clusters in 21 regions, 1990-2010: a systematic analysis for the Global Burden of Disease Study 2010. Lancet 2013; 380(9859):2224-2260.</w:t>
      </w:r>
    </w:p>
  </w:footnote>
  <w:footnote w:id="3">
    <w:p w:rsidR="00237DB9" w:rsidRPr="0091155E" w:rsidRDefault="00237DB9" w:rsidP="00B555EA">
      <w:pPr>
        <w:pStyle w:val="FootnoteText"/>
        <w:jc w:val="both"/>
      </w:pPr>
      <w:r w:rsidRPr="0091155E">
        <w:rPr>
          <w:rStyle w:val="FootnoteReference"/>
          <w:vertAlign w:val="baseline"/>
        </w:rPr>
        <w:footnoteRef/>
      </w:r>
      <w:r w:rsidR="00AB584B" w:rsidRPr="0091155E">
        <w:t>.</w:t>
      </w:r>
      <w:r w:rsidRPr="0091155E">
        <w:t xml:space="preserve"> </w:t>
      </w:r>
      <w:proofErr w:type="gramStart"/>
      <w:r w:rsidRPr="0091155E">
        <w:t>World Health Organization.</w:t>
      </w:r>
      <w:proofErr w:type="gramEnd"/>
      <w:r w:rsidRPr="0091155E">
        <w:t xml:space="preserve"> A global brief on hypertension: silent killer, global public health crisis. </w:t>
      </w:r>
      <w:proofErr w:type="gramStart"/>
      <w:r w:rsidRPr="0091155E">
        <w:t>World Health Day 2013.</w:t>
      </w:r>
      <w:proofErr w:type="gramEnd"/>
      <w:r w:rsidRPr="0091155E">
        <w:t xml:space="preserve"> Report, 1-39. 2013. </w:t>
      </w:r>
      <w:smartTag w:uri="urn:schemas-microsoft-com:office:smarttags" w:element="place">
        <w:smartTag w:uri="urn:schemas-microsoft-com:office:smarttags" w:element="City">
          <w:r w:rsidRPr="0091155E">
            <w:t>Geneva</w:t>
          </w:r>
        </w:smartTag>
        <w:r w:rsidRPr="0091155E">
          <w:t xml:space="preserve">, </w:t>
        </w:r>
        <w:smartTag w:uri="urn:schemas-microsoft-com:office:smarttags" w:element="country-region">
          <w:r w:rsidRPr="0091155E">
            <w:t>Switzerland</w:t>
          </w:r>
        </w:smartTag>
      </w:smartTag>
      <w:r w:rsidRPr="0091155E">
        <w:t xml:space="preserve">, World Health Organization. </w:t>
      </w:r>
    </w:p>
  </w:footnote>
  <w:footnote w:id="4">
    <w:p w:rsidR="00237DB9" w:rsidRPr="0091155E" w:rsidRDefault="00237DB9" w:rsidP="00B555EA">
      <w:pPr>
        <w:pStyle w:val="FootnoteText"/>
        <w:jc w:val="both"/>
      </w:pPr>
      <w:r w:rsidRPr="0091155E">
        <w:rPr>
          <w:rStyle w:val="FootnoteReference"/>
          <w:vertAlign w:val="baseline"/>
        </w:rPr>
        <w:footnoteRef/>
      </w:r>
      <w:r w:rsidR="00AB584B" w:rsidRPr="0091155E">
        <w:t>.</w:t>
      </w:r>
      <w:r w:rsidRPr="0091155E">
        <w:t xml:space="preserve"> Levy D, Larson MG, </w:t>
      </w:r>
      <w:proofErr w:type="spellStart"/>
      <w:r w:rsidRPr="0091155E">
        <w:t>Vasan</w:t>
      </w:r>
      <w:proofErr w:type="spellEnd"/>
      <w:r w:rsidRPr="0091155E">
        <w:t xml:space="preserve"> RS, </w:t>
      </w:r>
      <w:proofErr w:type="spellStart"/>
      <w:r w:rsidRPr="0091155E">
        <w:t>Kannel</w:t>
      </w:r>
      <w:proofErr w:type="spellEnd"/>
      <w:r w:rsidRPr="0091155E">
        <w:t xml:space="preserve"> WB, Ho KKL. The Progression </w:t>
      </w:r>
      <w:proofErr w:type="gramStart"/>
      <w:r w:rsidRPr="0091155E">
        <w:t>From</w:t>
      </w:r>
      <w:proofErr w:type="gramEnd"/>
      <w:r w:rsidRPr="0091155E">
        <w:t xml:space="preserve"> Hypertension to Congestive Heart Failure. JAMA 1996; 275(20):1557-1562. </w:t>
      </w:r>
    </w:p>
  </w:footnote>
  <w:footnote w:id="5">
    <w:p w:rsidR="00237DB9" w:rsidRPr="0091155E" w:rsidRDefault="00237DB9" w:rsidP="00B555EA">
      <w:pPr>
        <w:pStyle w:val="FootnoteText"/>
        <w:jc w:val="both"/>
      </w:pPr>
      <w:r w:rsidRPr="0091155E">
        <w:rPr>
          <w:rStyle w:val="FootnoteReference"/>
          <w:vertAlign w:val="baseline"/>
        </w:rPr>
        <w:footnoteRef/>
      </w:r>
      <w:r w:rsidR="00AB584B" w:rsidRPr="0091155E">
        <w:t>.</w:t>
      </w:r>
      <w:r w:rsidRPr="0091155E">
        <w:t xml:space="preserve"> </w:t>
      </w:r>
      <w:proofErr w:type="gramStart"/>
      <w:r w:rsidRPr="0091155E">
        <w:t xml:space="preserve">Chen G, McAlister FA, Walker RL, </w:t>
      </w:r>
      <w:proofErr w:type="spellStart"/>
      <w:r w:rsidRPr="0091155E">
        <w:t>Hemmelgarn</w:t>
      </w:r>
      <w:proofErr w:type="spellEnd"/>
      <w:r w:rsidRPr="0091155E">
        <w:t xml:space="preserve"> BR, Campbell NR.</w:t>
      </w:r>
      <w:proofErr w:type="gramEnd"/>
      <w:r w:rsidRPr="0091155E">
        <w:t xml:space="preserve"> Cardiovascular outcomes in </w:t>
      </w:r>
      <w:smartTag w:uri="urn:schemas-microsoft-com:office:smarttags" w:element="City">
        <w:smartTag w:uri="urn:schemas-microsoft-com:office:smarttags" w:element="place">
          <w:r w:rsidRPr="0091155E">
            <w:t>Framingham</w:t>
          </w:r>
        </w:smartTag>
      </w:smartTag>
      <w:r w:rsidRPr="0091155E">
        <w:t xml:space="preserve"> participants with diabetes: the importance of blood pressure. Hypertension 2011; 57(5):891-897. </w:t>
      </w:r>
    </w:p>
  </w:footnote>
  <w:footnote w:id="6">
    <w:p w:rsidR="00237DB9" w:rsidRPr="0091155E" w:rsidRDefault="00237DB9" w:rsidP="00B555EA">
      <w:pPr>
        <w:pStyle w:val="FootnoteText"/>
        <w:jc w:val="both"/>
      </w:pPr>
      <w:r w:rsidRPr="0091155E">
        <w:rPr>
          <w:rStyle w:val="FootnoteReference"/>
          <w:vertAlign w:val="baseline"/>
        </w:rPr>
        <w:footnoteRef/>
      </w:r>
      <w:r w:rsidR="00AB584B" w:rsidRPr="0091155E">
        <w:t>.</w:t>
      </w:r>
      <w:r w:rsidRPr="0091155E">
        <w:t xml:space="preserve"> </w:t>
      </w:r>
      <w:smartTag w:uri="urn:schemas-microsoft-com:office:smarttags" w:element="place">
        <w:smartTag w:uri="urn:schemas-microsoft-com:office:smarttags" w:element="City">
          <w:r w:rsidRPr="0091155E">
            <w:t>Khan</w:t>
          </w:r>
        </w:smartTag>
        <w:r w:rsidRPr="0091155E">
          <w:t xml:space="preserve"> </w:t>
        </w:r>
        <w:smartTag w:uri="urn:schemas-microsoft-com:office:smarttags" w:element="State">
          <w:r w:rsidRPr="0091155E">
            <w:t>KS</w:t>
          </w:r>
        </w:smartTag>
      </w:smartTag>
      <w:r w:rsidRPr="0091155E">
        <w:t xml:space="preserve">, </w:t>
      </w:r>
      <w:proofErr w:type="spellStart"/>
      <w:r w:rsidRPr="0091155E">
        <w:t>Wojdyla</w:t>
      </w:r>
      <w:proofErr w:type="spellEnd"/>
      <w:r w:rsidRPr="0091155E">
        <w:t xml:space="preserve"> D, Say L, </w:t>
      </w:r>
      <w:proofErr w:type="spellStart"/>
      <w:r w:rsidRPr="0091155E">
        <w:t>Gulmezoglu</w:t>
      </w:r>
      <w:proofErr w:type="spellEnd"/>
      <w:r w:rsidRPr="0091155E">
        <w:t xml:space="preserve"> AM, Van Look PFA. WHO analysis of causes of maternal death: a systematic review. Lancet 2006; 367(9516):1066-1074.</w:t>
      </w:r>
    </w:p>
  </w:footnote>
  <w:footnote w:id="7">
    <w:p w:rsidR="00237DB9" w:rsidRPr="0091155E" w:rsidRDefault="00237DB9" w:rsidP="00B555EA">
      <w:pPr>
        <w:pStyle w:val="FootnoteText"/>
        <w:jc w:val="both"/>
      </w:pPr>
      <w:r w:rsidRPr="0091155E">
        <w:rPr>
          <w:rStyle w:val="FootnoteReference"/>
          <w:vertAlign w:val="baseline"/>
        </w:rPr>
        <w:footnoteRef/>
      </w:r>
      <w:r w:rsidR="00AB584B" w:rsidRPr="0091155E">
        <w:t>.</w:t>
      </w:r>
      <w:r w:rsidRPr="0091155E">
        <w:t xml:space="preserve"> </w:t>
      </w:r>
      <w:proofErr w:type="spellStart"/>
      <w:r w:rsidRPr="0091155E">
        <w:t>Seely</w:t>
      </w:r>
      <w:proofErr w:type="spellEnd"/>
      <w:r w:rsidRPr="0091155E">
        <w:t xml:space="preserve"> EW, Maxwell C. Cardiology Patient Page. </w:t>
      </w:r>
      <w:proofErr w:type="gramStart"/>
      <w:r w:rsidRPr="0091155E">
        <w:t>Chronic Hypertension in Pregnancy.</w:t>
      </w:r>
      <w:proofErr w:type="gramEnd"/>
      <w:r w:rsidRPr="0091155E">
        <w:t xml:space="preserve"> Circulation 2007; 115(7):e188-e190.</w:t>
      </w:r>
    </w:p>
  </w:footnote>
  <w:footnote w:id="8">
    <w:p w:rsidR="00237DB9" w:rsidRPr="0091155E" w:rsidRDefault="00237DB9">
      <w:pPr>
        <w:pStyle w:val="FootnoteText"/>
      </w:pPr>
      <w:r w:rsidRPr="0091155E">
        <w:rPr>
          <w:rStyle w:val="FootnoteReference"/>
          <w:vertAlign w:val="baseline"/>
        </w:rPr>
        <w:footnoteRef/>
      </w:r>
      <w:r w:rsidR="00AB584B" w:rsidRPr="0091155E">
        <w:t>.</w:t>
      </w:r>
      <w:r w:rsidRPr="0091155E">
        <w:t xml:space="preserve"> World Health Statistics 2012, </w:t>
      </w:r>
      <w:hyperlink r:id="rId1" w:history="1">
        <w:r w:rsidRPr="0091155E">
          <w:rPr>
            <w:rStyle w:val="Hyperlink"/>
          </w:rPr>
          <w:t>www.who.int</w:t>
        </w:r>
      </w:hyperlink>
    </w:p>
  </w:footnote>
  <w:footnote w:id="9">
    <w:p w:rsidR="00237DB9" w:rsidRPr="0091155E" w:rsidRDefault="00237DB9">
      <w:pPr>
        <w:pStyle w:val="FootnoteText"/>
      </w:pPr>
      <w:r w:rsidRPr="0091155E">
        <w:rPr>
          <w:rStyle w:val="FootnoteReference"/>
          <w:vertAlign w:val="baseline"/>
        </w:rPr>
        <w:footnoteRef/>
      </w:r>
      <w:r w:rsidRPr="0091155E">
        <w:t xml:space="preserve"> </w:t>
      </w:r>
      <w:r w:rsidR="00AB584B" w:rsidRPr="0091155E">
        <w:t>.</w:t>
      </w:r>
      <w:r w:rsidRPr="0091155E">
        <w:t xml:space="preserve">Kearny PM, </w:t>
      </w:r>
      <w:proofErr w:type="spellStart"/>
      <w:r w:rsidRPr="0091155E">
        <w:t>Whelton</w:t>
      </w:r>
      <w:proofErr w:type="spellEnd"/>
      <w:r w:rsidRPr="0091155E">
        <w:t xml:space="preserve"> M, Reynolds K, </w:t>
      </w:r>
      <w:proofErr w:type="spellStart"/>
      <w:r w:rsidRPr="0091155E">
        <w:t>Muntner</w:t>
      </w:r>
      <w:proofErr w:type="spellEnd"/>
      <w:r w:rsidRPr="0091155E">
        <w:t xml:space="preserve"> P, </w:t>
      </w:r>
      <w:proofErr w:type="spellStart"/>
      <w:r w:rsidRPr="0091155E">
        <w:t>Whelton</w:t>
      </w:r>
      <w:proofErr w:type="spellEnd"/>
      <w:r w:rsidRPr="0091155E">
        <w:t xml:space="preserve"> PK, He J, Global burden of </w:t>
      </w:r>
      <w:proofErr w:type="spellStart"/>
      <w:r w:rsidRPr="0091155E">
        <w:t>hypertension:analzsis</w:t>
      </w:r>
      <w:proofErr w:type="spellEnd"/>
      <w:r w:rsidRPr="0091155E">
        <w:t xml:space="preserve"> of worldwide data”, Lancet, vol.365, no.9455, pp. 217-223, 2005</w:t>
      </w:r>
    </w:p>
  </w:footnote>
  <w:footnote w:id="10">
    <w:p w:rsidR="00237DB9" w:rsidRPr="0091155E" w:rsidRDefault="00237DB9">
      <w:pPr>
        <w:pStyle w:val="FootnoteText"/>
      </w:pPr>
      <w:r w:rsidRPr="0091155E">
        <w:rPr>
          <w:rStyle w:val="FootnoteReference"/>
          <w:vertAlign w:val="baseline"/>
        </w:rPr>
        <w:footnoteRef/>
      </w:r>
      <w:r w:rsidR="00AB584B" w:rsidRPr="0091155E">
        <w:t>.</w:t>
      </w:r>
      <w:r w:rsidRPr="0091155E">
        <w:t xml:space="preserve"> WHO, Global status report on </w:t>
      </w:r>
      <w:proofErr w:type="spellStart"/>
      <w:r w:rsidRPr="0091155E">
        <w:t>noncommunicable</w:t>
      </w:r>
      <w:proofErr w:type="spellEnd"/>
      <w:r w:rsidRPr="0091155E">
        <w:t xml:space="preserve"> diseases 2010, www.who.int</w:t>
      </w:r>
    </w:p>
  </w:footnote>
  <w:footnote w:id="11">
    <w:p w:rsidR="00237DB9" w:rsidRPr="0091155E" w:rsidRDefault="00237DB9" w:rsidP="00B555EA">
      <w:pPr>
        <w:pStyle w:val="FootnoteText"/>
      </w:pPr>
      <w:r w:rsidRPr="0091155E">
        <w:rPr>
          <w:rStyle w:val="FootnoteReference"/>
          <w:vertAlign w:val="baseline"/>
        </w:rPr>
        <w:footnoteRef/>
      </w:r>
      <w:r w:rsidRPr="0091155E">
        <w:t xml:space="preserve"> </w:t>
      </w:r>
      <w:proofErr w:type="gramStart"/>
      <w:r w:rsidR="00AB584B" w:rsidRPr="0091155E">
        <w:t>.</w:t>
      </w:r>
      <w:proofErr w:type="spellStart"/>
      <w:r w:rsidRPr="0091155E">
        <w:t>Gaziano</w:t>
      </w:r>
      <w:proofErr w:type="spellEnd"/>
      <w:r w:rsidRPr="0091155E">
        <w:t xml:space="preserve"> TA, </w:t>
      </w:r>
      <w:proofErr w:type="spellStart"/>
      <w:r w:rsidRPr="0091155E">
        <w:t>Bitton</w:t>
      </w:r>
      <w:proofErr w:type="spellEnd"/>
      <w:r w:rsidRPr="0091155E">
        <w:t xml:space="preserve"> A, </w:t>
      </w:r>
      <w:proofErr w:type="spellStart"/>
      <w:r w:rsidRPr="0091155E">
        <w:t>Anand</w:t>
      </w:r>
      <w:proofErr w:type="spellEnd"/>
      <w:r w:rsidRPr="0091155E">
        <w:t xml:space="preserve"> S, Weinstein MC.</w:t>
      </w:r>
      <w:proofErr w:type="gramEnd"/>
      <w:r w:rsidRPr="0091155E">
        <w:t xml:space="preserve"> </w:t>
      </w:r>
      <w:proofErr w:type="gramStart"/>
      <w:r w:rsidRPr="0091155E">
        <w:t xml:space="preserve">The global cost of </w:t>
      </w:r>
      <w:proofErr w:type="spellStart"/>
      <w:r w:rsidRPr="0091155E">
        <w:t>nonoptimal</w:t>
      </w:r>
      <w:proofErr w:type="spellEnd"/>
      <w:r w:rsidRPr="0091155E">
        <w:t xml:space="preserve"> blood pressure.</w:t>
      </w:r>
      <w:proofErr w:type="gramEnd"/>
      <w:r w:rsidRPr="0091155E">
        <w:t xml:space="preserve"> J </w:t>
      </w:r>
      <w:proofErr w:type="spellStart"/>
      <w:r w:rsidRPr="0091155E">
        <w:t>Hypertens</w:t>
      </w:r>
      <w:proofErr w:type="spellEnd"/>
      <w:r w:rsidRPr="0091155E">
        <w:t xml:space="preserve"> 2009; 27(7):1472-1477. </w:t>
      </w:r>
    </w:p>
  </w:footnote>
  <w:footnote w:id="12">
    <w:p w:rsidR="00237DB9" w:rsidRPr="0091155E" w:rsidRDefault="00237DB9" w:rsidP="001D4E55">
      <w:pPr>
        <w:pStyle w:val="FootnoteText"/>
      </w:pPr>
      <w:r w:rsidRPr="0091155E">
        <w:rPr>
          <w:rStyle w:val="FootnoteReference"/>
          <w:vertAlign w:val="baseline"/>
        </w:rPr>
        <w:footnoteRef/>
      </w:r>
      <w:r w:rsidR="00AB584B" w:rsidRPr="0091155E">
        <w:t>.</w:t>
      </w:r>
      <w:r w:rsidRPr="0091155E">
        <w:t xml:space="preserve">Committee on Public Health Priorities to Reduce and Control Hypertension in the </w:t>
      </w:r>
      <w:proofErr w:type="spellStart"/>
      <w:r w:rsidRPr="0091155E">
        <w:t>U.S.Population</w:t>
      </w:r>
      <w:proofErr w:type="spellEnd"/>
      <w:r w:rsidRPr="0091155E">
        <w:t xml:space="preserve">, </w:t>
      </w:r>
      <w:smartTag w:uri="urn:schemas-microsoft-com:office:smarttags" w:element="place">
        <w:smartTag w:uri="urn:schemas-microsoft-com:office:smarttags" w:element="PlaceType">
          <w:r w:rsidRPr="0091155E">
            <w:t>Institute</w:t>
          </w:r>
        </w:smartTag>
        <w:r w:rsidRPr="0091155E">
          <w:t xml:space="preserve"> of </w:t>
        </w:r>
        <w:smartTag w:uri="urn:schemas-microsoft-com:office:smarttags" w:element="PlaceName">
          <w:r w:rsidRPr="0091155E">
            <w:t>Medicine</w:t>
          </w:r>
        </w:smartTag>
      </w:smartTag>
      <w:r w:rsidRPr="0091155E">
        <w:t xml:space="preserve"> of the National Academies. A Population-Based Policy and Systems Change Approach to Prevent and Control Hypertension. </w:t>
      </w:r>
      <w:proofErr w:type="gramStart"/>
      <w:r w:rsidRPr="0091155E">
        <w:t>Report ,</w:t>
      </w:r>
      <w:proofErr w:type="gramEnd"/>
      <w:r w:rsidRPr="0091155E">
        <w:t xml:space="preserve"> v-173. 2010.</w:t>
      </w:r>
    </w:p>
  </w:footnote>
  <w:footnote w:id="13">
    <w:p w:rsidR="00237DB9" w:rsidRPr="0091155E" w:rsidRDefault="00237DB9" w:rsidP="009C291E">
      <w:pPr>
        <w:pStyle w:val="FootnoteText"/>
        <w:jc w:val="both"/>
      </w:pPr>
      <w:r w:rsidRPr="0091155E">
        <w:rPr>
          <w:rStyle w:val="FootnoteReference"/>
          <w:vertAlign w:val="baseline"/>
        </w:rPr>
        <w:footnoteRef/>
      </w:r>
      <w:r w:rsidR="00311CB3" w:rsidRPr="0091155E">
        <w:t>.</w:t>
      </w:r>
      <w:r w:rsidRPr="0091155E">
        <w:t xml:space="preserve"> DOROBANTU M, DARABONT RO, BADILA E, GHIORGHE S, Study for the Evaluation of Hypertension and Cardiovascular Risk in Adult Population in Romania - „Prevalence, Awareness, Treatment, and Control of Hypertension in Romania: Results of the SEPHAR Study International Journal of Hypertension, 2010</w:t>
      </w:r>
    </w:p>
  </w:footnote>
  <w:footnote w:id="14">
    <w:p w:rsidR="00237DB9" w:rsidRPr="0091155E" w:rsidRDefault="00237DB9" w:rsidP="00614C74">
      <w:pPr>
        <w:pStyle w:val="FootnoteText"/>
        <w:jc w:val="both"/>
        <w:rPr>
          <w:lang w:val="ro-RO"/>
        </w:rPr>
      </w:pPr>
      <w:r w:rsidRPr="0091155E">
        <w:rPr>
          <w:rStyle w:val="FootnoteReference"/>
          <w:vertAlign w:val="baseline"/>
        </w:rPr>
        <w:footnoteRef/>
      </w:r>
      <w:r w:rsidR="00311CB3" w:rsidRPr="0091155E">
        <w:t>.</w:t>
      </w:r>
      <w:r w:rsidRPr="0091155E">
        <w:t xml:space="preserve"> MARIA DOROBANŢU AND AL. Profile of the Romanian Hypertensive Patient Data from SEPHAR II Study, Rom J. Intern. Med., 2012, 50,4, 285-296</w:t>
      </w:r>
    </w:p>
  </w:footnote>
  <w:footnote w:id="15">
    <w:p w:rsidR="00237DB9" w:rsidRPr="0091155E" w:rsidRDefault="00237DB9" w:rsidP="00614C74">
      <w:pPr>
        <w:pStyle w:val="FootnoteText"/>
        <w:rPr>
          <w:lang w:val="ro-RO"/>
        </w:rPr>
      </w:pPr>
      <w:r w:rsidRPr="0091155E">
        <w:rPr>
          <w:rStyle w:val="FootnoteReference"/>
          <w:vertAlign w:val="baseline"/>
        </w:rPr>
        <w:footnoteRef/>
      </w:r>
      <w:r w:rsidR="00311CB3" w:rsidRPr="0091155E">
        <w:rPr>
          <w:lang w:val="ro-RO"/>
        </w:rPr>
        <w:t>.</w:t>
      </w:r>
      <w:r w:rsidRPr="0091155E">
        <w:rPr>
          <w:lang w:val="ro-RO"/>
        </w:rPr>
        <w:t xml:space="preserve"> ZDROJEWSKI T, SZPAKOWSKI P, BANDOSZ P, PAJAK A, WIECEK A, KRUPA-WOJCIECHOWSKA B, WYRZYKOWSKI B. Arterial hypertension in Poland in 2002. </w:t>
      </w:r>
      <w:r w:rsidRPr="0091155E">
        <w:rPr>
          <w:lang w:val="de-DE"/>
        </w:rPr>
        <w:t xml:space="preserve">J Hum Hypertens. </w:t>
      </w:r>
      <w:r w:rsidRPr="0091155E">
        <w:t>2004 Aug;18(8):557–62</w:t>
      </w:r>
    </w:p>
  </w:footnote>
  <w:footnote w:id="16">
    <w:p w:rsidR="00237DB9" w:rsidRPr="0091155E" w:rsidRDefault="00237DB9" w:rsidP="00614C74">
      <w:pPr>
        <w:pStyle w:val="FootnoteText"/>
        <w:rPr>
          <w:lang w:val="ro-RO"/>
        </w:rPr>
      </w:pPr>
      <w:r w:rsidRPr="0091155E">
        <w:rPr>
          <w:rStyle w:val="FootnoteReference"/>
          <w:vertAlign w:val="baseline"/>
        </w:rPr>
        <w:footnoteRef/>
      </w:r>
      <w:r w:rsidR="00311CB3" w:rsidRPr="0091155E">
        <w:rPr>
          <w:lang w:val="ro-RO"/>
        </w:rPr>
        <w:t>.</w:t>
      </w:r>
      <w:r w:rsidRPr="0091155E">
        <w:rPr>
          <w:lang w:val="ro-RO"/>
        </w:rPr>
        <w:t xml:space="preserve"> JELAKOVIĆ B, DIKA Z, KOS J, PEĆIN I, LAGANOVIĆ M, JOVANOVIĆ A, et al., Treatment and control of hypertension in Croatia. </w:t>
      </w:r>
      <w:proofErr w:type="gramStart"/>
      <w:r w:rsidRPr="0091155E">
        <w:t>The BEL-AH study.</w:t>
      </w:r>
      <w:proofErr w:type="gramEnd"/>
      <w:r w:rsidRPr="0091155E">
        <w:t xml:space="preserve"> </w:t>
      </w:r>
      <w:proofErr w:type="spellStart"/>
      <w:r w:rsidRPr="0091155E">
        <w:t>Lijec</w:t>
      </w:r>
      <w:proofErr w:type="spellEnd"/>
      <w:r w:rsidRPr="0091155E">
        <w:t xml:space="preserve"> </w:t>
      </w:r>
      <w:proofErr w:type="spellStart"/>
      <w:r w:rsidRPr="0091155E">
        <w:t>Vjesn</w:t>
      </w:r>
      <w:proofErr w:type="spellEnd"/>
      <w:r w:rsidRPr="0091155E">
        <w:t>. 2006 Nov-Dec</w:t>
      </w:r>
      <w:proofErr w:type="gramStart"/>
      <w:r w:rsidRPr="0091155E">
        <w:t>;128</w:t>
      </w:r>
      <w:proofErr w:type="gramEnd"/>
      <w:r w:rsidRPr="0091155E">
        <w:t xml:space="preserve"> (11–12):329–33. </w:t>
      </w:r>
    </w:p>
  </w:footnote>
  <w:footnote w:id="17">
    <w:p w:rsidR="00237DB9" w:rsidRPr="0091155E" w:rsidRDefault="00237DB9" w:rsidP="00614C74">
      <w:pPr>
        <w:pStyle w:val="FootnoteText"/>
        <w:rPr>
          <w:lang w:val="ro-RO"/>
        </w:rPr>
      </w:pPr>
      <w:r w:rsidRPr="0091155E">
        <w:rPr>
          <w:rStyle w:val="FootnoteReference"/>
          <w:vertAlign w:val="baseline"/>
        </w:rPr>
        <w:footnoteRef/>
      </w:r>
      <w:r w:rsidR="00311CB3" w:rsidRPr="0091155E">
        <w:rPr>
          <w:lang w:val="ro-RO"/>
        </w:rPr>
        <w:t>.</w:t>
      </w:r>
      <w:r w:rsidRPr="0091155E">
        <w:rPr>
          <w:lang w:val="ro-RO"/>
        </w:rPr>
        <w:t xml:space="preserve"> ALTUN B, ARICI M, NERGIZOĞLU G, DERICI U, KARATAN O, TURGAN C, et al. Prevalence, awareness, treatment and control of hypertension in Turkey (the PatenT study) in 2003. J Hypertens. 2005 Oct; 23 (10):1817–23.</w:t>
      </w:r>
    </w:p>
  </w:footnote>
  <w:footnote w:id="18">
    <w:p w:rsidR="00237DB9" w:rsidRPr="0091155E" w:rsidRDefault="00237DB9" w:rsidP="00614C74">
      <w:pPr>
        <w:pStyle w:val="FootnoteText"/>
        <w:rPr>
          <w:lang w:val="ro-RO"/>
        </w:rPr>
      </w:pPr>
      <w:r w:rsidRPr="0091155E">
        <w:rPr>
          <w:rStyle w:val="FootnoteReference"/>
          <w:vertAlign w:val="baseline"/>
        </w:rPr>
        <w:footnoteRef/>
      </w:r>
      <w:r w:rsidR="00311CB3" w:rsidRPr="0091155E">
        <w:rPr>
          <w:lang w:val="ro-RO"/>
        </w:rPr>
        <w:t>.</w:t>
      </w:r>
      <w:r w:rsidRPr="0091155E">
        <w:rPr>
          <w:lang w:val="ro-RO"/>
        </w:rPr>
        <w:t xml:space="preserve">JOSE L. LLISTERRI, GUSTAVO C. RODRIGUEZ-ROCA, CARLOS ESCOBAR, F. JAVIER ALONSO-MORENO, MIGUEL A. </w:t>
      </w:r>
      <w:r w:rsidRPr="0091155E">
        <w:t xml:space="preserve">PRIETO et al. Treatment and blood pressure control in </w:t>
      </w:r>
      <w:smartTag w:uri="urn:schemas-microsoft-com:office:smarttags" w:element="place">
        <w:smartTag w:uri="urn:schemas-microsoft-com:office:smarttags" w:element="country-region">
          <w:r w:rsidRPr="0091155E">
            <w:t>Spain</w:t>
          </w:r>
        </w:smartTag>
      </w:smartTag>
      <w:r w:rsidRPr="0091155E">
        <w:t xml:space="preserve"> during 2002–2010. </w:t>
      </w:r>
      <w:proofErr w:type="gramStart"/>
      <w:r w:rsidRPr="0091155E">
        <w:t xml:space="preserve">J </w:t>
      </w:r>
      <w:proofErr w:type="spellStart"/>
      <w:r w:rsidRPr="0091155E">
        <w:t>Hypertens</w:t>
      </w:r>
      <w:proofErr w:type="spellEnd"/>
      <w:r w:rsidRPr="0091155E">
        <w:t>.</w:t>
      </w:r>
      <w:proofErr w:type="gramEnd"/>
      <w:r w:rsidRPr="0091155E">
        <w:t xml:space="preserve"> </w:t>
      </w:r>
      <w:proofErr w:type="gramStart"/>
      <w:r w:rsidRPr="0091155E">
        <w:t>2012, 30: 2425–2431.</w:t>
      </w:r>
      <w:proofErr w:type="gramEnd"/>
    </w:p>
  </w:footnote>
  <w:footnote w:id="19">
    <w:p w:rsidR="00237DB9" w:rsidRPr="0091155E" w:rsidRDefault="00237DB9">
      <w:pPr>
        <w:pStyle w:val="FootnoteText"/>
        <w:rPr>
          <w:lang w:val="ro-RO"/>
        </w:rPr>
      </w:pPr>
      <w:r w:rsidRPr="0091155E">
        <w:rPr>
          <w:rStyle w:val="FootnoteReference"/>
          <w:vertAlign w:val="baseline"/>
        </w:rPr>
        <w:footnoteRef/>
      </w:r>
      <w:r w:rsidR="00311CB3" w:rsidRPr="0091155E">
        <w:t>.</w:t>
      </w:r>
      <w:r w:rsidRPr="0091155E">
        <w:t xml:space="preserve"> </w:t>
      </w:r>
      <w:proofErr w:type="spellStart"/>
      <w:r w:rsidRPr="0091155E">
        <w:t>Dorobantu</w:t>
      </w:r>
      <w:proofErr w:type="spellEnd"/>
      <w:r w:rsidRPr="0091155E">
        <w:t xml:space="preserve"> M and al</w:t>
      </w:r>
      <w:proofErr w:type="gramStart"/>
      <w:r w:rsidRPr="0091155E">
        <w:t>. ,</w:t>
      </w:r>
      <w:proofErr w:type="gramEnd"/>
      <w:r w:rsidRPr="0091155E">
        <w:t xml:space="preserve"> </w:t>
      </w:r>
      <w:r w:rsidRPr="0091155E">
        <w:rPr>
          <w:lang w:val="ro-RO"/>
        </w:rPr>
        <w:t xml:space="preserve">Hypertension prevalence and control in </w:t>
      </w:r>
      <w:smartTag w:uri="urn:schemas-microsoft-com:office:smarttags" w:element="place">
        <w:smartTag w:uri="urn:schemas-microsoft-com:office:smarttags" w:element="country-region">
          <w:r w:rsidRPr="0091155E">
            <w:rPr>
              <w:lang w:val="ro-RO"/>
            </w:rPr>
            <w:t>Romania</w:t>
          </w:r>
        </w:smartTag>
      </w:smartTag>
      <w:r w:rsidRPr="0091155E">
        <w:rPr>
          <w:lang w:val="ro-RO"/>
        </w:rPr>
        <w:t xml:space="preserve"> at a seven-year interval. Comparison SEPHAR I and II surveys. J Hypertension, 2014, 32 (1):39-47</w:t>
      </w:r>
    </w:p>
  </w:footnote>
  <w:footnote w:id="20">
    <w:p w:rsidR="00237DB9" w:rsidRPr="0091155E" w:rsidRDefault="00237DB9" w:rsidP="009C291E">
      <w:pPr>
        <w:pStyle w:val="FootnoteText"/>
        <w:jc w:val="both"/>
      </w:pPr>
      <w:r w:rsidRPr="0091155E">
        <w:rPr>
          <w:rStyle w:val="FootnoteReference"/>
          <w:vertAlign w:val="baseline"/>
        </w:rPr>
        <w:footnoteRef/>
      </w:r>
      <w:r w:rsidR="00311CB3" w:rsidRPr="0091155E">
        <w:t>.</w:t>
      </w:r>
      <w:r w:rsidRPr="0091155E">
        <w:t xml:space="preserve"> Wolf-Maier K and all., Hypertension Prevalence and Blood Pressure Levels in 6 European Countries, Canada, and the United States, JAMA, 2003, vol. 289, no.18, pp 2363-2369</w:t>
      </w:r>
    </w:p>
  </w:footnote>
  <w:footnote w:id="21">
    <w:p w:rsidR="00237DB9" w:rsidRPr="0091155E" w:rsidRDefault="00237DB9">
      <w:pPr>
        <w:pStyle w:val="FootnoteText"/>
      </w:pPr>
      <w:r w:rsidRPr="0091155E">
        <w:rPr>
          <w:rStyle w:val="FootnoteReference"/>
          <w:vertAlign w:val="baseline"/>
        </w:rPr>
        <w:footnoteRef/>
      </w:r>
      <w:r w:rsidR="00311CB3" w:rsidRPr="0091155E">
        <w:t>.</w:t>
      </w:r>
      <w:r w:rsidRPr="0091155E">
        <w:t xml:space="preserve"> NCHS Data Brief, No. 107, October 2012, Hypertension among adults in the Unites States, 2009-2010</w:t>
      </w:r>
    </w:p>
  </w:footnote>
  <w:footnote w:id="22">
    <w:p w:rsidR="00237DB9" w:rsidRPr="0091155E" w:rsidRDefault="00237DB9">
      <w:pPr>
        <w:pStyle w:val="FootnoteText"/>
      </w:pPr>
      <w:r w:rsidRPr="0091155E">
        <w:rPr>
          <w:rStyle w:val="FootnoteReference"/>
          <w:vertAlign w:val="baseline"/>
        </w:rPr>
        <w:footnoteRef/>
      </w:r>
      <w:r w:rsidR="00311CB3" w:rsidRPr="0091155E">
        <w:t>.</w:t>
      </w:r>
      <w:r w:rsidRPr="0091155E">
        <w:t xml:space="preserve"> </w:t>
      </w:r>
      <w:r w:rsidRPr="0091155E">
        <w:rPr>
          <w:bCs/>
        </w:rPr>
        <w:t xml:space="preserve">Prevalence, Awareness, Treatment, and Control of Hypertension among Saudi Adult Population: A National Survey </w:t>
      </w:r>
      <w:r w:rsidRPr="0091155E">
        <w:t>SAGE-</w:t>
      </w:r>
      <w:proofErr w:type="spellStart"/>
      <w:r w:rsidRPr="0091155E">
        <w:t>Hindawi</w:t>
      </w:r>
      <w:proofErr w:type="spellEnd"/>
      <w:r w:rsidRPr="0091155E">
        <w:t xml:space="preserve"> Access to Research International Journal of Hypertension, Volume 2011</w:t>
      </w:r>
    </w:p>
  </w:footnote>
  <w:footnote w:id="23">
    <w:p w:rsidR="00237DB9" w:rsidRPr="0091155E" w:rsidRDefault="00237DB9">
      <w:pPr>
        <w:pStyle w:val="FootnoteText"/>
      </w:pPr>
      <w:r w:rsidRPr="0091155E">
        <w:rPr>
          <w:rStyle w:val="FootnoteReference"/>
          <w:vertAlign w:val="baseline"/>
        </w:rPr>
        <w:footnoteRef/>
      </w:r>
      <w:r w:rsidR="00311CB3" w:rsidRPr="0091155E">
        <w:t xml:space="preserve">. </w:t>
      </w:r>
      <w:proofErr w:type="spellStart"/>
      <w:r w:rsidRPr="0091155E">
        <w:t>Grassi</w:t>
      </w:r>
      <w:proofErr w:type="spellEnd"/>
      <w:r w:rsidRPr="0091155E">
        <w:t xml:space="preserve"> G. and all., Blood pressure control and cardiovascular risk profile in hypertensive patients from central and eastern European countries: results of the BP-CARE study, European Heart Journal (2011) 32, 218–225</w:t>
      </w:r>
    </w:p>
  </w:footnote>
  <w:footnote w:id="24">
    <w:p w:rsidR="00237DB9" w:rsidRPr="0091155E" w:rsidRDefault="00237DB9">
      <w:pPr>
        <w:pStyle w:val="FootnoteText"/>
      </w:pPr>
      <w:r w:rsidRPr="0091155E">
        <w:rPr>
          <w:rStyle w:val="FootnoteReference"/>
          <w:vertAlign w:val="baseline"/>
        </w:rPr>
        <w:footnoteRef/>
      </w:r>
      <w:r w:rsidR="00311CB3" w:rsidRPr="0091155E">
        <w:t xml:space="preserve">. </w:t>
      </w:r>
      <w:r w:rsidRPr="0091155E">
        <w:t xml:space="preserve">Yusuf S, Reddy S, </w:t>
      </w:r>
      <w:proofErr w:type="spellStart"/>
      <w:r w:rsidRPr="0091155E">
        <w:t>Ounpuus</w:t>
      </w:r>
      <w:proofErr w:type="spellEnd"/>
      <w:r w:rsidRPr="0091155E">
        <w:t xml:space="preserve"> S, </w:t>
      </w:r>
      <w:proofErr w:type="spellStart"/>
      <w:r w:rsidRPr="0091155E">
        <w:t>Anad</w:t>
      </w:r>
      <w:proofErr w:type="spellEnd"/>
      <w:r w:rsidRPr="0091155E">
        <w:t xml:space="preserve"> S, Global burden of cardiovascular diseases </w:t>
      </w:r>
      <w:r w:rsidRPr="0091155E">
        <w:rPr>
          <w:i/>
          <w:iCs/>
        </w:rPr>
        <w:t xml:space="preserve">Circulation. </w:t>
      </w:r>
      <w:r w:rsidRPr="0091155E">
        <w:t>2001;104:2855-2864</w:t>
      </w:r>
    </w:p>
  </w:footnote>
  <w:footnote w:id="25">
    <w:p w:rsidR="00237DB9" w:rsidRPr="0091155E" w:rsidRDefault="00237DB9">
      <w:pPr>
        <w:pStyle w:val="FootnoteText"/>
      </w:pPr>
      <w:r w:rsidRPr="0091155E">
        <w:rPr>
          <w:rStyle w:val="FootnoteReference"/>
          <w:vertAlign w:val="baseline"/>
        </w:rPr>
        <w:footnoteRef/>
      </w:r>
      <w:r w:rsidR="00311CB3" w:rsidRPr="0091155E">
        <w:t>.</w:t>
      </w:r>
      <w:r w:rsidRPr="0091155E">
        <w:t xml:space="preserve"> Cardiovascular Diseases in Europe 2004 - Results from the Euro Heart Survey </w:t>
      </w:r>
      <w:proofErr w:type="spellStart"/>
      <w:r w:rsidRPr="0091155E">
        <w:t>programme</w:t>
      </w:r>
      <w:proofErr w:type="spellEnd"/>
      <w:r w:rsidRPr="0091155E">
        <w:t xml:space="preserve"> and national registries - www.escardio.org</w:t>
      </w:r>
    </w:p>
  </w:footnote>
  <w:footnote w:id="26">
    <w:p w:rsidR="00237DB9" w:rsidRPr="0091155E" w:rsidRDefault="00237DB9">
      <w:pPr>
        <w:pStyle w:val="FootnoteText"/>
        <w:rPr>
          <w:lang w:val="ro-RO"/>
        </w:rPr>
      </w:pPr>
      <w:r w:rsidRPr="0091155E">
        <w:rPr>
          <w:rStyle w:val="FootnoteReference"/>
          <w:vertAlign w:val="baseline"/>
        </w:rPr>
        <w:footnoteRef/>
      </w:r>
      <w:r w:rsidR="00311CB3" w:rsidRPr="0091155E">
        <w:t>.</w:t>
      </w:r>
      <w:r w:rsidRPr="0091155E">
        <w:t xml:space="preserve"> </w:t>
      </w:r>
      <w:r w:rsidRPr="0091155E">
        <w:rPr>
          <w:lang w:val="pt-BR"/>
        </w:rPr>
        <w:t>European Cardiovascular Disease Statistics. British Heart Foundation: London; 2000</w:t>
      </w:r>
    </w:p>
  </w:footnote>
  <w:footnote w:id="27">
    <w:p w:rsidR="00237DB9" w:rsidRPr="0091155E" w:rsidRDefault="00237DB9" w:rsidP="00B400EA">
      <w:pPr>
        <w:autoSpaceDE w:val="0"/>
        <w:autoSpaceDN w:val="0"/>
        <w:adjustRightInd w:val="0"/>
        <w:rPr>
          <w:sz w:val="20"/>
          <w:szCs w:val="20"/>
        </w:rPr>
      </w:pPr>
      <w:r w:rsidRPr="0091155E">
        <w:rPr>
          <w:rStyle w:val="FootnoteReference"/>
          <w:sz w:val="20"/>
          <w:szCs w:val="20"/>
          <w:vertAlign w:val="baseline"/>
        </w:rPr>
        <w:footnoteRef/>
      </w:r>
      <w:r w:rsidR="00311CB3" w:rsidRPr="0091155E">
        <w:rPr>
          <w:sz w:val="20"/>
          <w:szCs w:val="20"/>
        </w:rPr>
        <w:t>.</w:t>
      </w:r>
      <w:r w:rsidRPr="0091155E">
        <w:rPr>
          <w:sz w:val="20"/>
          <w:szCs w:val="20"/>
        </w:rPr>
        <w:t xml:space="preserve">Ethel M. </w:t>
      </w:r>
      <w:proofErr w:type="spellStart"/>
      <w:r w:rsidRPr="0091155E">
        <w:rPr>
          <w:sz w:val="20"/>
          <w:szCs w:val="20"/>
        </w:rPr>
        <w:t>Frese</w:t>
      </w:r>
      <w:proofErr w:type="spellEnd"/>
      <w:r w:rsidRPr="0091155E">
        <w:rPr>
          <w:sz w:val="20"/>
          <w:szCs w:val="20"/>
        </w:rPr>
        <w:t xml:space="preserve">, PT, Ann </w:t>
      </w:r>
      <w:proofErr w:type="spellStart"/>
      <w:r w:rsidRPr="0091155E">
        <w:rPr>
          <w:sz w:val="20"/>
          <w:szCs w:val="20"/>
        </w:rPr>
        <w:t>Fick</w:t>
      </w:r>
      <w:proofErr w:type="spellEnd"/>
      <w:r w:rsidRPr="0091155E">
        <w:rPr>
          <w:sz w:val="20"/>
          <w:szCs w:val="20"/>
        </w:rPr>
        <w:t xml:space="preserve">, H. Steven </w:t>
      </w:r>
      <w:proofErr w:type="spellStart"/>
      <w:r w:rsidRPr="0091155E">
        <w:rPr>
          <w:sz w:val="20"/>
          <w:szCs w:val="20"/>
        </w:rPr>
        <w:t>Sadowsky</w:t>
      </w:r>
      <w:proofErr w:type="spellEnd"/>
      <w:r w:rsidRPr="0091155E">
        <w:rPr>
          <w:sz w:val="20"/>
          <w:szCs w:val="20"/>
        </w:rPr>
        <w:t xml:space="preserve">, </w:t>
      </w:r>
      <w:r w:rsidRPr="0091155E">
        <w:rPr>
          <w:bCs/>
          <w:sz w:val="20"/>
          <w:szCs w:val="20"/>
        </w:rPr>
        <w:t>Blood Pressure Measurement Guidelines for Physical Therapists</w:t>
      </w:r>
      <w:r w:rsidRPr="0091155E">
        <w:rPr>
          <w:rStyle w:val="citation-abbreviation"/>
          <w:sz w:val="20"/>
          <w:szCs w:val="20"/>
        </w:rPr>
        <w:t xml:space="preserve"> </w:t>
      </w:r>
      <w:proofErr w:type="spellStart"/>
      <w:r w:rsidRPr="0091155E">
        <w:rPr>
          <w:rStyle w:val="citation-abbreviation"/>
          <w:sz w:val="20"/>
          <w:szCs w:val="20"/>
        </w:rPr>
        <w:t>Cardiopulm</w:t>
      </w:r>
      <w:proofErr w:type="spellEnd"/>
      <w:r w:rsidRPr="0091155E">
        <w:rPr>
          <w:rStyle w:val="citation-abbreviation"/>
          <w:sz w:val="20"/>
          <w:szCs w:val="20"/>
        </w:rPr>
        <w:t xml:space="preserve"> Phys </w:t>
      </w:r>
      <w:proofErr w:type="spellStart"/>
      <w:r w:rsidRPr="0091155E">
        <w:rPr>
          <w:rStyle w:val="citation-abbreviation"/>
          <w:sz w:val="20"/>
          <w:szCs w:val="20"/>
        </w:rPr>
        <w:t>Ther</w:t>
      </w:r>
      <w:proofErr w:type="spellEnd"/>
      <w:r w:rsidRPr="0091155E">
        <w:rPr>
          <w:rStyle w:val="citation-abbreviation"/>
          <w:sz w:val="20"/>
          <w:szCs w:val="20"/>
        </w:rPr>
        <w:t xml:space="preserve"> J. </w:t>
      </w:r>
      <w:r w:rsidRPr="0091155E">
        <w:rPr>
          <w:rStyle w:val="citation-publication-date"/>
          <w:sz w:val="20"/>
          <w:szCs w:val="20"/>
        </w:rPr>
        <w:t xml:space="preserve">2011 June; </w:t>
      </w:r>
      <w:r w:rsidRPr="0091155E">
        <w:rPr>
          <w:rStyle w:val="citation-volume"/>
          <w:sz w:val="20"/>
          <w:szCs w:val="20"/>
        </w:rPr>
        <w:t>22</w:t>
      </w:r>
      <w:r w:rsidRPr="0091155E">
        <w:rPr>
          <w:rStyle w:val="citation-issue"/>
          <w:sz w:val="20"/>
          <w:szCs w:val="20"/>
        </w:rPr>
        <w:t>(2)</w:t>
      </w:r>
      <w:r w:rsidRPr="0091155E">
        <w:rPr>
          <w:rStyle w:val="citation-flpages"/>
          <w:sz w:val="20"/>
          <w:szCs w:val="20"/>
        </w:rPr>
        <w:t xml:space="preserve">: 5–12 </w:t>
      </w:r>
    </w:p>
  </w:footnote>
  <w:footnote w:id="28">
    <w:p w:rsidR="00237DB9" w:rsidRPr="0091155E" w:rsidRDefault="00237DB9" w:rsidP="00B400EA">
      <w:pPr>
        <w:pStyle w:val="FootnoteText"/>
      </w:pPr>
      <w:r w:rsidRPr="0091155E">
        <w:rPr>
          <w:rStyle w:val="FootnoteReference"/>
          <w:vertAlign w:val="baseline"/>
        </w:rPr>
        <w:footnoteRef/>
      </w:r>
      <w:r w:rsidR="00311CB3" w:rsidRPr="0091155E">
        <w:t>.</w:t>
      </w:r>
      <w:r w:rsidRPr="0091155E">
        <w:t xml:space="preserve"> National </w:t>
      </w:r>
      <w:smartTag w:uri="urn:schemas-microsoft-com:office:smarttags" w:element="place">
        <w:smartTag w:uri="urn:schemas-microsoft-com:office:smarttags" w:element="PlaceType">
          <w:r w:rsidRPr="0091155E">
            <w:t>Institute</w:t>
          </w:r>
        </w:smartTag>
        <w:r w:rsidRPr="0091155E">
          <w:t xml:space="preserve"> of </w:t>
        </w:r>
        <w:smartTag w:uri="urn:schemas-microsoft-com:office:smarttags" w:element="PlaceName">
          <w:r w:rsidRPr="0091155E">
            <w:t>Health</w:t>
          </w:r>
        </w:smartTag>
      </w:smartTag>
      <w:r w:rsidRPr="0091155E">
        <w:t xml:space="preserve"> and Clinical Excellence, MNT – Medical News Today, 2011</w:t>
      </w:r>
    </w:p>
  </w:footnote>
  <w:footnote w:id="29">
    <w:p w:rsidR="00237DB9" w:rsidRPr="00ED7B16" w:rsidRDefault="00237DB9" w:rsidP="00B400EA">
      <w:pPr>
        <w:jc w:val="both"/>
        <w:rPr>
          <w:rFonts w:ascii="Verdana" w:hAnsi="Verdana"/>
          <w:color w:val="3366CC"/>
          <w:sz w:val="20"/>
          <w:szCs w:val="20"/>
        </w:rPr>
      </w:pPr>
      <w:r w:rsidRPr="0091155E">
        <w:rPr>
          <w:rStyle w:val="FootnoteReference"/>
          <w:sz w:val="20"/>
          <w:szCs w:val="20"/>
          <w:vertAlign w:val="baseline"/>
        </w:rPr>
        <w:footnoteRef/>
      </w:r>
      <w:r w:rsidR="00311CB3" w:rsidRPr="0091155E">
        <w:rPr>
          <w:sz w:val="20"/>
          <w:szCs w:val="20"/>
        </w:rPr>
        <w:t xml:space="preserve">. </w:t>
      </w:r>
      <w:hyperlink r:id="rId2" w:tgtFrame="_new" w:tooltip="Pocket guidelines for Assessment and Management of Cardiovascular Risk" w:history="1">
        <w:r w:rsidRPr="0091155E">
          <w:rPr>
            <w:bCs/>
            <w:color w:val="3366CC"/>
            <w:sz w:val="20"/>
            <w:szCs w:val="20"/>
            <w:u w:val="single"/>
          </w:rPr>
          <w:t>http://www.ish-world.com/Documents/PocketGL_ENGLISH_EUR-A-B.PDF</w:t>
        </w:r>
      </w:hyperlink>
    </w:p>
  </w:footnote>
  <w:footnote w:id="30">
    <w:p w:rsidR="00237DB9" w:rsidRPr="0091155E" w:rsidRDefault="00237DB9" w:rsidP="00B400EA">
      <w:pPr>
        <w:autoSpaceDE w:val="0"/>
        <w:autoSpaceDN w:val="0"/>
        <w:adjustRightInd w:val="0"/>
        <w:jc w:val="both"/>
        <w:rPr>
          <w:color w:val="3366CC"/>
          <w:sz w:val="20"/>
          <w:szCs w:val="20"/>
        </w:rPr>
      </w:pPr>
      <w:r w:rsidRPr="0091155E">
        <w:rPr>
          <w:rStyle w:val="FootnoteReference"/>
          <w:sz w:val="20"/>
          <w:szCs w:val="20"/>
          <w:vertAlign w:val="baseline"/>
        </w:rPr>
        <w:footnoteRef/>
      </w:r>
      <w:r w:rsidR="00311CB3" w:rsidRPr="0091155E">
        <w:rPr>
          <w:sz w:val="20"/>
          <w:szCs w:val="20"/>
        </w:rPr>
        <w:t>.</w:t>
      </w:r>
      <w:r w:rsidRPr="0091155E">
        <w:rPr>
          <w:sz w:val="20"/>
          <w:szCs w:val="20"/>
        </w:rPr>
        <w:t xml:space="preserve"> </w:t>
      </w:r>
      <w:proofErr w:type="spellStart"/>
      <w:r w:rsidRPr="0091155E">
        <w:rPr>
          <w:sz w:val="20"/>
          <w:szCs w:val="20"/>
        </w:rPr>
        <w:t>Lurbe</w:t>
      </w:r>
      <w:proofErr w:type="spellEnd"/>
      <w:r w:rsidRPr="0091155E">
        <w:rPr>
          <w:sz w:val="20"/>
          <w:szCs w:val="20"/>
        </w:rPr>
        <w:t xml:space="preserve"> E and all., Journal of Hypertension 2009, 27:1719–1742, </w:t>
      </w:r>
      <w:hyperlink r:id="rId3" w:history="1">
        <w:r w:rsidRPr="0091155E">
          <w:rPr>
            <w:rStyle w:val="Hyperlink"/>
            <w:color w:val="3366CC"/>
            <w:sz w:val="20"/>
            <w:szCs w:val="20"/>
          </w:rPr>
          <w:t>http://www.cpgn.net/web/uploadfile/2011/</w:t>
        </w:r>
      </w:hyperlink>
      <w:r w:rsidRPr="0091155E">
        <w:rPr>
          <w:color w:val="3366CC"/>
          <w:sz w:val="20"/>
          <w:szCs w:val="20"/>
        </w:rPr>
        <w:t xml:space="preserve"> </w:t>
      </w:r>
    </w:p>
  </w:footnote>
  <w:footnote w:id="31">
    <w:p w:rsidR="00237DB9" w:rsidRPr="0091155E" w:rsidRDefault="00237DB9" w:rsidP="002E6264">
      <w:pPr>
        <w:autoSpaceDE w:val="0"/>
        <w:autoSpaceDN w:val="0"/>
        <w:adjustRightInd w:val="0"/>
        <w:jc w:val="both"/>
        <w:rPr>
          <w:sz w:val="20"/>
          <w:szCs w:val="20"/>
        </w:rPr>
      </w:pPr>
      <w:r w:rsidRPr="0091155E">
        <w:rPr>
          <w:rStyle w:val="FootnoteReference"/>
          <w:sz w:val="20"/>
          <w:szCs w:val="20"/>
          <w:vertAlign w:val="baseline"/>
        </w:rPr>
        <w:footnoteRef/>
      </w:r>
      <w:r w:rsidR="00311CB3" w:rsidRPr="0091155E">
        <w:rPr>
          <w:sz w:val="20"/>
          <w:szCs w:val="20"/>
        </w:rPr>
        <w:t>.</w:t>
      </w:r>
      <w:r w:rsidRPr="0091155E">
        <w:rPr>
          <w:sz w:val="20"/>
          <w:szCs w:val="20"/>
        </w:rPr>
        <w:t xml:space="preserve"> Gianfranco </w:t>
      </w:r>
      <w:proofErr w:type="spellStart"/>
      <w:r w:rsidRPr="0091155E">
        <w:rPr>
          <w:sz w:val="20"/>
          <w:szCs w:val="20"/>
        </w:rPr>
        <w:t>Parati</w:t>
      </w:r>
      <w:proofErr w:type="spellEnd"/>
      <w:r w:rsidRPr="0091155E">
        <w:rPr>
          <w:sz w:val="20"/>
          <w:szCs w:val="20"/>
        </w:rPr>
        <w:t xml:space="preserve"> and all., Journal of Hypertension 2008, 26:1505–1530</w:t>
      </w:r>
    </w:p>
  </w:footnote>
  <w:footnote w:id="32">
    <w:p w:rsidR="00237DB9" w:rsidRPr="0091155E" w:rsidRDefault="00237DB9">
      <w:pPr>
        <w:pStyle w:val="FootnoteText"/>
      </w:pPr>
      <w:r w:rsidRPr="0091155E">
        <w:rPr>
          <w:rStyle w:val="FootnoteReference"/>
          <w:vertAlign w:val="baseline"/>
        </w:rPr>
        <w:footnoteRef/>
      </w:r>
      <w:r w:rsidR="00311CB3" w:rsidRPr="0091155E">
        <w:t>.</w:t>
      </w:r>
      <w:r w:rsidRPr="0091155E">
        <w:t xml:space="preserve"> </w:t>
      </w:r>
      <w:proofErr w:type="spellStart"/>
      <w:r w:rsidRPr="0091155E">
        <w:t>Mancia</w:t>
      </w:r>
      <w:proofErr w:type="spellEnd"/>
      <w:r w:rsidRPr="0091155E">
        <w:t xml:space="preserve"> G et al. Journal of Hypertension 2009, 27:000–000</w:t>
      </w:r>
    </w:p>
  </w:footnote>
  <w:footnote w:id="33">
    <w:p w:rsidR="00237DB9" w:rsidRPr="0091155E" w:rsidRDefault="00237DB9" w:rsidP="005F402D">
      <w:pPr>
        <w:pStyle w:val="FootnoteText"/>
        <w:rPr>
          <w:color w:val="3366CC"/>
          <w:lang w:val="ro-RO"/>
        </w:rPr>
      </w:pPr>
      <w:r w:rsidRPr="0091155E">
        <w:rPr>
          <w:rStyle w:val="FootnoteReference"/>
          <w:vertAlign w:val="baseline"/>
        </w:rPr>
        <w:footnoteRef/>
      </w:r>
      <w:r w:rsidRPr="0091155E">
        <w:t xml:space="preserve"> </w:t>
      </w:r>
      <w:r w:rsidR="00311CB3" w:rsidRPr="0091155E">
        <w:t>.</w:t>
      </w:r>
      <w:r w:rsidRPr="0091155E">
        <w:rPr>
          <w:lang w:val="ro-RO"/>
        </w:rPr>
        <w:t>Mancia et al.</w:t>
      </w:r>
      <w:r w:rsidRPr="0091155E">
        <w:t xml:space="preserve"> </w:t>
      </w:r>
      <w:r w:rsidRPr="0091155E">
        <w:rPr>
          <w:lang w:val="ro-RO"/>
        </w:rPr>
        <w:t xml:space="preserve">2013, 2013 ESH/ESC Guidelines for the management of arterial hypertension, Journal of Hypertension 2013, 31:1281–1357, </w:t>
      </w:r>
      <w:r w:rsidRPr="0091155E">
        <w:rPr>
          <w:color w:val="3366CC"/>
          <w:lang w:val="ro-RO"/>
        </w:rPr>
        <w:t>http://www.esh2013.org/wordpress/wp-content/uploads/2013/06/ESC-ESH-Guidelines-2013.pdf</w:t>
      </w:r>
    </w:p>
  </w:footnote>
  <w:footnote w:id="34">
    <w:p w:rsidR="00237DB9" w:rsidRPr="0091155E" w:rsidRDefault="00237DB9" w:rsidP="00CB09E0">
      <w:pPr>
        <w:pStyle w:val="FootnoteText"/>
        <w:rPr>
          <w:color w:val="3366CC"/>
          <w:lang w:val="ro-RO"/>
        </w:rPr>
      </w:pPr>
      <w:r w:rsidRPr="0091155E">
        <w:rPr>
          <w:rStyle w:val="FootnoteReference"/>
          <w:vertAlign w:val="baseline"/>
        </w:rPr>
        <w:footnoteRef/>
      </w:r>
      <w:r w:rsidRPr="0091155E">
        <w:rPr>
          <w:lang w:val="ro-RO"/>
        </w:rPr>
        <w:t xml:space="preserve"> </w:t>
      </w:r>
      <w:r w:rsidR="00311CB3" w:rsidRPr="0091155E">
        <w:rPr>
          <w:lang w:val="ro-RO"/>
        </w:rPr>
        <w:t>.</w:t>
      </w:r>
      <w:r w:rsidRPr="0091155E">
        <w:rPr>
          <w:lang w:val="ro-RO"/>
        </w:rPr>
        <w:t xml:space="preserve">Hypertension: Emergencies and UrgenciesReference # 246, </w:t>
      </w:r>
      <w:r w:rsidRPr="0091155E">
        <w:rPr>
          <w:color w:val="3366CC"/>
          <w:lang w:val="ro-RO"/>
        </w:rPr>
        <w:t>http://www.gacguidelines.ca/site/GAC_Guidelines/assets/pdf/HYPE05-Emergencies_and_Urgencies.pdf</w:t>
      </w:r>
    </w:p>
  </w:footnote>
  <w:footnote w:id="35">
    <w:p w:rsidR="00237DB9" w:rsidRPr="0091155E" w:rsidRDefault="00237DB9">
      <w:pPr>
        <w:pStyle w:val="FootnoteText"/>
        <w:rPr>
          <w:color w:val="3366CC"/>
          <w:lang w:val="ro-RO"/>
        </w:rPr>
      </w:pPr>
      <w:r w:rsidRPr="0091155E">
        <w:rPr>
          <w:rStyle w:val="FootnoteReference"/>
          <w:vertAlign w:val="baseline"/>
        </w:rPr>
        <w:footnoteRef/>
      </w:r>
      <w:r w:rsidR="00311CB3" w:rsidRPr="0091155E">
        <w:rPr>
          <w:color w:val="0066CC"/>
          <w:lang w:val="ro-RO"/>
        </w:rPr>
        <w:t>.</w:t>
      </w:r>
      <w:r w:rsidRPr="0091155E">
        <w:rPr>
          <w:color w:val="0066CC"/>
          <w:lang w:val="ro-RO"/>
        </w:rPr>
        <w:t xml:space="preserve"> </w:t>
      </w:r>
      <w:r w:rsidRPr="0091155E">
        <w:rPr>
          <w:lang w:val="ro-RO"/>
        </w:rPr>
        <w:t>American Family Physician,</w:t>
      </w:r>
      <w:r w:rsidRPr="0091155E">
        <w:rPr>
          <w:color w:val="0066CC"/>
          <w:lang w:val="ro-RO"/>
        </w:rPr>
        <w:t xml:space="preserve"> </w:t>
      </w:r>
      <w:r w:rsidRPr="0091155E">
        <w:rPr>
          <w:lang w:val="ro-RO"/>
        </w:rPr>
        <w:t>Volume 81, Number 4, 2010,</w:t>
      </w:r>
      <w:r w:rsidRPr="0091155E">
        <w:rPr>
          <w:color w:val="0066CC"/>
          <w:lang w:val="ro-RO"/>
        </w:rPr>
        <w:t xml:space="preserve">  </w:t>
      </w:r>
      <w:r w:rsidRPr="0091155E">
        <w:rPr>
          <w:color w:val="3366CC"/>
          <w:lang w:val="ro-RO"/>
        </w:rPr>
        <w:t>http://www.aafp.org/afp/2010/0215/p470.pdf</w:t>
      </w:r>
    </w:p>
  </w:footnote>
  <w:footnote w:id="36">
    <w:p w:rsidR="00237DB9" w:rsidRPr="0091155E" w:rsidRDefault="00237DB9">
      <w:pPr>
        <w:pStyle w:val="FootnoteText"/>
        <w:rPr>
          <w:color w:val="3366CC"/>
          <w:lang w:val="ro-RO"/>
        </w:rPr>
      </w:pPr>
      <w:r w:rsidRPr="0091155E">
        <w:rPr>
          <w:rStyle w:val="FootnoteReference"/>
          <w:vertAlign w:val="baseline"/>
        </w:rPr>
        <w:footnoteRef/>
      </w:r>
      <w:r w:rsidR="00311CB3" w:rsidRPr="0091155E">
        <w:rPr>
          <w:lang w:val="ro-RO"/>
        </w:rPr>
        <w:t>.</w:t>
      </w:r>
      <w:r w:rsidRPr="0091155E">
        <w:rPr>
          <w:lang w:val="ro-RO"/>
        </w:rPr>
        <w:t xml:space="preserve"> </w:t>
      </w:r>
      <w:r w:rsidRPr="0091155E">
        <w:rPr>
          <w:color w:val="3366CC"/>
          <w:lang w:val="ro-RO"/>
        </w:rPr>
        <w:t>http://www.ms.ro/documente/Ghid%205_8292_5998.pdf</w:t>
      </w:r>
    </w:p>
  </w:footnote>
  <w:footnote w:id="37">
    <w:p w:rsidR="00237DB9" w:rsidRPr="0091155E" w:rsidRDefault="00237DB9" w:rsidP="002E6264">
      <w:pPr>
        <w:spacing w:line="360" w:lineRule="auto"/>
        <w:jc w:val="both"/>
        <w:rPr>
          <w:color w:val="3366CC"/>
        </w:rPr>
      </w:pPr>
      <w:r w:rsidRPr="0091155E">
        <w:rPr>
          <w:rStyle w:val="FootnoteReference"/>
          <w:sz w:val="20"/>
          <w:szCs w:val="20"/>
          <w:vertAlign w:val="baseline"/>
        </w:rPr>
        <w:footnoteRef/>
      </w:r>
      <w:r w:rsidR="00311CB3" w:rsidRPr="0091155E">
        <w:t>.</w:t>
      </w:r>
      <w:r w:rsidRPr="0091155E">
        <w:t xml:space="preserve"> </w:t>
      </w:r>
      <w:hyperlink r:id="rId4" w:history="1">
        <w:r w:rsidRPr="0091155E">
          <w:rPr>
            <w:rStyle w:val="Hyperlink"/>
            <w:color w:val="3366CC"/>
            <w:sz w:val="20"/>
            <w:szCs w:val="20"/>
          </w:rPr>
          <w:t>http://www.ghidurimedicale.ro/download/ghid_hta.pdf</w:t>
        </w:r>
      </w:hyperlink>
    </w:p>
  </w:footnote>
  <w:footnote w:id="38">
    <w:p w:rsidR="00237DB9" w:rsidRPr="0091155E" w:rsidRDefault="00237DB9">
      <w:pPr>
        <w:pStyle w:val="FootnoteText"/>
        <w:rPr>
          <w:color w:val="3366CC"/>
        </w:rPr>
      </w:pPr>
      <w:r w:rsidRPr="0091155E">
        <w:rPr>
          <w:rStyle w:val="FootnoteReference"/>
          <w:vertAlign w:val="baseline"/>
        </w:rPr>
        <w:footnoteRef/>
      </w:r>
      <w:r w:rsidRPr="0091155E">
        <w:t xml:space="preserve"> </w:t>
      </w:r>
      <w:r w:rsidR="00311CB3" w:rsidRPr="0091155E">
        <w:t>.</w:t>
      </w:r>
      <w:hyperlink r:id="rId5" w:history="1">
        <w:r w:rsidRPr="0091155E">
          <w:rPr>
            <w:rStyle w:val="Hyperlink"/>
            <w:color w:val="3366CC"/>
          </w:rPr>
          <w:t>http://www.ghidurimedicale.ro/images/hta/hta_pac_a.jpg</w:t>
        </w:r>
      </w:hyperlink>
    </w:p>
  </w:footnote>
  <w:footnote w:id="39">
    <w:p w:rsidR="0069455B" w:rsidRPr="0091155E" w:rsidRDefault="0069455B">
      <w:pPr>
        <w:pStyle w:val="FootnoteText"/>
        <w:rPr>
          <w:color w:val="3366FF"/>
          <w:sz w:val="18"/>
          <w:szCs w:val="18"/>
          <w:lang w:val="ro-RO"/>
        </w:rPr>
      </w:pPr>
      <w:r w:rsidRPr="0091155E">
        <w:rPr>
          <w:rStyle w:val="FootnoteReference"/>
          <w:vertAlign w:val="baseline"/>
        </w:rPr>
        <w:footnoteRef/>
      </w:r>
      <w:r w:rsidR="00311CB3" w:rsidRPr="0091155E">
        <w:t>.</w:t>
      </w:r>
      <w:r w:rsidRPr="0091155E">
        <w:t xml:space="preserve"> </w:t>
      </w:r>
      <w:proofErr w:type="spellStart"/>
      <w:r w:rsidRPr="0091155E">
        <w:t>Ghidul</w:t>
      </w:r>
      <w:proofErr w:type="spellEnd"/>
      <w:r w:rsidRPr="0091155E">
        <w:t xml:space="preserve"> ESH/ESC </w:t>
      </w:r>
      <w:proofErr w:type="spellStart"/>
      <w:r w:rsidRPr="0091155E">
        <w:t>Managementul</w:t>
      </w:r>
      <w:proofErr w:type="spellEnd"/>
      <w:r w:rsidRPr="0091155E">
        <w:t xml:space="preserve"> </w:t>
      </w:r>
      <w:proofErr w:type="spellStart"/>
      <w:r w:rsidRPr="0091155E">
        <w:t>hipertensiunii</w:t>
      </w:r>
      <w:proofErr w:type="spellEnd"/>
      <w:r w:rsidRPr="0091155E">
        <w:t xml:space="preserve"> </w:t>
      </w:r>
      <w:proofErr w:type="spellStart"/>
      <w:r w:rsidRPr="0091155E">
        <w:t>arteriale</w:t>
      </w:r>
      <w:proofErr w:type="spellEnd"/>
      <w:r w:rsidRPr="0091155E">
        <w:t xml:space="preserve"> 2013, Romanian Journal of Cardiology, vol. 23, Suppl. C</w:t>
      </w:r>
      <w:r w:rsidR="00674921" w:rsidRPr="0091155E">
        <w:t xml:space="preserve">, </w:t>
      </w:r>
      <w:r w:rsidR="00674921" w:rsidRPr="0091155E">
        <w:rPr>
          <w:color w:val="3366FF"/>
          <w:sz w:val="18"/>
          <w:szCs w:val="18"/>
        </w:rPr>
        <w:t>http://static.romanianjournalcardiology.ro/mediaLibrary/arhiva/2013_rrc_supc.pdf</w:t>
      </w:r>
    </w:p>
  </w:footnote>
  <w:footnote w:id="40">
    <w:p w:rsidR="00372A78" w:rsidRPr="00FD6E4E" w:rsidRDefault="00372A78">
      <w:pPr>
        <w:pStyle w:val="FootnoteText"/>
        <w:rPr>
          <w:color w:val="3399FF"/>
        </w:rPr>
      </w:pPr>
      <w:r w:rsidRPr="000950A5">
        <w:rPr>
          <w:rStyle w:val="FootnoteReference"/>
          <w:vertAlign w:val="baseline"/>
        </w:rPr>
        <w:footnoteRef/>
      </w:r>
      <w:r w:rsidRPr="000950A5">
        <w:t>.</w:t>
      </w:r>
      <w:r w:rsidRPr="000950A5">
        <w:rPr>
          <w:color w:val="0070C0"/>
        </w:rPr>
        <w:t xml:space="preserve"> </w:t>
      </w:r>
      <w:r w:rsidRPr="00FD6E4E">
        <w:rPr>
          <w:color w:val="3399FF"/>
        </w:rPr>
        <w:t>www.cardioportal.ro/publicatii/ghiduri-src/ghidul-de-tratament-al-stemi-in-prespital/</w:t>
      </w:r>
    </w:p>
  </w:footnote>
  <w:footnote w:id="41">
    <w:p w:rsidR="00372A78" w:rsidRPr="00FD6E4E" w:rsidRDefault="00372A78">
      <w:pPr>
        <w:pStyle w:val="FootnoteText"/>
        <w:rPr>
          <w:color w:val="3399FF"/>
        </w:rPr>
      </w:pPr>
      <w:r w:rsidRPr="00FD6E4E">
        <w:rPr>
          <w:rStyle w:val="FootnoteReference"/>
          <w:color w:val="3399FF"/>
          <w:vertAlign w:val="baseline"/>
        </w:rPr>
        <w:footnoteRef/>
      </w:r>
      <w:r w:rsidRPr="00FD6E4E">
        <w:rPr>
          <w:color w:val="3399FF"/>
        </w:rPr>
        <w:t>. www.cardioportal.ro/publicatii/ghiduri-src/ghidurile-esc-varianta-prescurtata/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24F"/>
    <w:multiLevelType w:val="hybridMultilevel"/>
    <w:tmpl w:val="CC5EB184"/>
    <w:lvl w:ilvl="0" w:tplc="818EBC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2F63C0F"/>
    <w:multiLevelType w:val="hybridMultilevel"/>
    <w:tmpl w:val="A2C63314"/>
    <w:lvl w:ilvl="0" w:tplc="DBE8D05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19491D"/>
    <w:multiLevelType w:val="hybridMultilevel"/>
    <w:tmpl w:val="672458AE"/>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E7E82"/>
    <w:multiLevelType w:val="hybridMultilevel"/>
    <w:tmpl w:val="3D647518"/>
    <w:lvl w:ilvl="0" w:tplc="DBE8D05E">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317CD6"/>
    <w:multiLevelType w:val="multilevel"/>
    <w:tmpl w:val="91B68A9C"/>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5">
    <w:nsid w:val="0C1E0489"/>
    <w:multiLevelType w:val="hybridMultilevel"/>
    <w:tmpl w:val="1CCAF8D0"/>
    <w:lvl w:ilvl="0" w:tplc="EB328BE8">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0E4806ED"/>
    <w:multiLevelType w:val="hybridMultilevel"/>
    <w:tmpl w:val="6DC49B08"/>
    <w:lvl w:ilvl="0" w:tplc="818EBC5E">
      <w:start w:val="1"/>
      <w:numFmt w:val="bullet"/>
      <w:lvlText w:val=""/>
      <w:lvlJc w:val="left"/>
      <w:pPr>
        <w:tabs>
          <w:tab w:val="num" w:pos="360"/>
        </w:tabs>
        <w:ind w:left="360" w:hanging="360"/>
      </w:pPr>
      <w:rPr>
        <w:rFonts w:ascii="Wingdings" w:hAnsi="Wingdings" w:hint="default"/>
      </w:rPr>
    </w:lvl>
    <w:lvl w:ilvl="1" w:tplc="DBE8D05E">
      <w:start w:val="1"/>
      <w:numFmt w:val="upperRoman"/>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6A310F"/>
    <w:multiLevelType w:val="hybridMultilevel"/>
    <w:tmpl w:val="B3CC392E"/>
    <w:lvl w:ilvl="0" w:tplc="818EBC5E">
      <w:start w:val="1"/>
      <w:numFmt w:val="bullet"/>
      <w:lvlText w:val=""/>
      <w:lvlJc w:val="left"/>
      <w:pPr>
        <w:tabs>
          <w:tab w:val="num" w:pos="360"/>
        </w:tabs>
        <w:ind w:left="360" w:hanging="360"/>
      </w:pPr>
      <w:rPr>
        <w:rFonts w:ascii="Wingdings" w:hAnsi="Wingdings" w:hint="default"/>
      </w:rPr>
    </w:lvl>
    <w:lvl w:ilvl="1" w:tplc="93709E9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F31B98"/>
    <w:multiLevelType w:val="multilevel"/>
    <w:tmpl w:val="A962912C"/>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9">
    <w:nsid w:val="157C63F6"/>
    <w:multiLevelType w:val="multilevel"/>
    <w:tmpl w:val="D77AE20E"/>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0">
    <w:nsid w:val="183C7740"/>
    <w:multiLevelType w:val="multilevel"/>
    <w:tmpl w:val="806EA384"/>
    <w:lvl w:ilvl="0">
      <w:start w:val="1"/>
      <w:numFmt w:val="upperRoman"/>
      <w:lvlText w:val="%1."/>
      <w:lvlJc w:val="left"/>
      <w:pPr>
        <w:tabs>
          <w:tab w:val="num" w:pos="840"/>
        </w:tabs>
        <w:ind w:left="84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1E6B163F"/>
    <w:multiLevelType w:val="hybridMultilevel"/>
    <w:tmpl w:val="452657F8"/>
    <w:lvl w:ilvl="0" w:tplc="818EBC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02734D8"/>
    <w:multiLevelType w:val="hybridMultilevel"/>
    <w:tmpl w:val="883E4A4E"/>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nsid w:val="21597E9E"/>
    <w:multiLevelType w:val="hybridMultilevel"/>
    <w:tmpl w:val="9892C970"/>
    <w:lvl w:ilvl="0" w:tplc="0409000B">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4">
    <w:nsid w:val="24296800"/>
    <w:multiLevelType w:val="multilevel"/>
    <w:tmpl w:val="E65AC8C6"/>
    <w:lvl w:ilvl="0">
      <w:start w:val="1"/>
      <w:numFmt w:val="bullet"/>
      <w:lvlText w:val=""/>
      <w:lvlJc w:val="left"/>
      <w:pPr>
        <w:tabs>
          <w:tab w:val="num" w:pos="480"/>
        </w:tabs>
        <w:ind w:left="480" w:hanging="360"/>
      </w:pPr>
      <w:rPr>
        <w:rFonts w:ascii="Wingdings" w:hAnsi="Wingdings"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5">
    <w:nsid w:val="26A30202"/>
    <w:multiLevelType w:val="multilevel"/>
    <w:tmpl w:val="2B6401D6"/>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6">
    <w:nsid w:val="274F2A34"/>
    <w:multiLevelType w:val="hybridMultilevel"/>
    <w:tmpl w:val="9E62B6A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9487B21"/>
    <w:multiLevelType w:val="hybridMultilevel"/>
    <w:tmpl w:val="1B5AD6A4"/>
    <w:lvl w:ilvl="0" w:tplc="E6F2790C">
      <w:start w:val="1"/>
      <w:numFmt w:val="upperRoman"/>
      <w:lvlText w:val="%1."/>
      <w:lvlJc w:val="left"/>
      <w:pPr>
        <w:tabs>
          <w:tab w:val="num" w:pos="284"/>
        </w:tabs>
        <w:ind w:left="284" w:hanging="284"/>
      </w:pPr>
      <w:rPr>
        <w:rFonts w:hint="default"/>
      </w:rPr>
    </w:lvl>
    <w:lvl w:ilvl="1" w:tplc="818EBC5E">
      <w:start w:val="1"/>
      <w:numFmt w:val="bullet"/>
      <w:lvlText w:val=""/>
      <w:lvlJc w:val="left"/>
      <w:pPr>
        <w:tabs>
          <w:tab w:val="num" w:pos="1320"/>
        </w:tabs>
        <w:ind w:left="1320" w:hanging="360"/>
      </w:pPr>
      <w:rPr>
        <w:rFonts w:ascii="Wingdings" w:hAnsi="Wingding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8">
    <w:nsid w:val="2F7A1FFB"/>
    <w:multiLevelType w:val="multilevel"/>
    <w:tmpl w:val="9B3A7D4C"/>
    <w:lvl w:ilvl="0">
      <w:start w:val="1"/>
      <w:numFmt w:val="upperRoman"/>
      <w:lvlText w:val="%1."/>
      <w:lvlJc w:val="left"/>
      <w:pPr>
        <w:tabs>
          <w:tab w:val="num" w:pos="284"/>
        </w:tabs>
        <w:ind w:left="284" w:hanging="284"/>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9">
    <w:nsid w:val="36546EEB"/>
    <w:multiLevelType w:val="hybridMultilevel"/>
    <w:tmpl w:val="11E26604"/>
    <w:lvl w:ilvl="0" w:tplc="DBE8D05E">
      <w:start w:val="1"/>
      <w:numFmt w:val="upp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153424"/>
    <w:multiLevelType w:val="hybridMultilevel"/>
    <w:tmpl w:val="4F141D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752503"/>
    <w:multiLevelType w:val="hybridMultilevel"/>
    <w:tmpl w:val="6EDEB80C"/>
    <w:lvl w:ilvl="0" w:tplc="DBE8D05E">
      <w:start w:val="1"/>
      <w:numFmt w:val="upperRoman"/>
      <w:lvlText w:val="%1."/>
      <w:lvlJc w:val="left"/>
      <w:pPr>
        <w:tabs>
          <w:tab w:val="num" w:pos="840"/>
        </w:tabs>
        <w:ind w:left="840" w:hanging="720"/>
      </w:pPr>
      <w:rPr>
        <w:rFonts w:hint="default"/>
      </w:r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96C14BB"/>
    <w:multiLevelType w:val="multilevel"/>
    <w:tmpl w:val="18805FE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39826A27"/>
    <w:multiLevelType w:val="hybridMultilevel"/>
    <w:tmpl w:val="3778787C"/>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D31386F"/>
    <w:multiLevelType w:val="hybridMultilevel"/>
    <w:tmpl w:val="6BF8860C"/>
    <w:lvl w:ilvl="0" w:tplc="A9DE2758">
      <w:start w:val="1"/>
      <w:numFmt w:val="upperLetter"/>
      <w:lvlText w:val="%1."/>
      <w:lvlJc w:val="left"/>
      <w:pPr>
        <w:tabs>
          <w:tab w:val="num" w:pos="360"/>
        </w:tabs>
        <w:ind w:left="360" w:hanging="360"/>
      </w:pPr>
      <w:rPr>
        <w:rFonts w:hint="default"/>
      </w:rPr>
    </w:lvl>
    <w:lvl w:ilvl="1" w:tplc="818EBC5E">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0554C66"/>
    <w:multiLevelType w:val="multilevel"/>
    <w:tmpl w:val="806EA384"/>
    <w:lvl w:ilvl="0">
      <w:start w:val="1"/>
      <w:numFmt w:val="upperRoman"/>
      <w:lvlText w:val="%1."/>
      <w:lvlJc w:val="left"/>
      <w:pPr>
        <w:tabs>
          <w:tab w:val="num" w:pos="840"/>
        </w:tabs>
        <w:ind w:left="84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nsid w:val="43863789"/>
    <w:multiLevelType w:val="hybridMultilevel"/>
    <w:tmpl w:val="AA5AD748"/>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45162925"/>
    <w:multiLevelType w:val="hybridMultilevel"/>
    <w:tmpl w:val="B704BC5C"/>
    <w:lvl w:ilvl="0" w:tplc="0409000B">
      <w:start w:val="1"/>
      <w:numFmt w:val="bullet"/>
      <w:lvlText w:val=""/>
      <w:lvlJc w:val="left"/>
      <w:pPr>
        <w:tabs>
          <w:tab w:val="num" w:pos="1440"/>
        </w:tabs>
        <w:ind w:left="1440" w:hanging="360"/>
      </w:pPr>
      <w:rPr>
        <w:rFonts w:ascii="Wingdings" w:hAnsi="Wingdings" w:hint="default"/>
      </w:rPr>
    </w:lvl>
    <w:lvl w:ilvl="1" w:tplc="93709E94">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1080"/>
        </w:tabs>
        <w:ind w:left="1080" w:hanging="360"/>
      </w:pPr>
      <w:rPr>
        <w:rFonts w:ascii="Symbol" w:hAnsi="Symbol" w:hint="default"/>
      </w:rPr>
    </w:lvl>
    <w:lvl w:ilvl="3" w:tplc="818EBC5E">
      <w:start w:val="1"/>
      <w:numFmt w:val="bullet"/>
      <w:lvlText w:val=""/>
      <w:lvlJc w:val="left"/>
      <w:pPr>
        <w:tabs>
          <w:tab w:val="num" w:pos="360"/>
        </w:tabs>
        <w:ind w:left="360" w:hanging="360"/>
      </w:pPr>
      <w:rPr>
        <w:rFonts w:ascii="Wingdings" w:hAnsi="Wingdings" w:hint="default"/>
      </w:rPr>
    </w:lvl>
    <w:lvl w:ilvl="4" w:tplc="04090003">
      <w:start w:val="1"/>
      <w:numFmt w:val="bullet"/>
      <w:lvlText w:val="o"/>
      <w:lvlJc w:val="left"/>
      <w:pPr>
        <w:tabs>
          <w:tab w:val="num" w:pos="1680"/>
        </w:tabs>
        <w:ind w:left="168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B136C5E"/>
    <w:multiLevelType w:val="hybridMultilevel"/>
    <w:tmpl w:val="637639F8"/>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8F6454"/>
    <w:multiLevelType w:val="multilevel"/>
    <w:tmpl w:val="4E660A96"/>
    <w:lvl w:ilvl="0">
      <w:start w:val="1"/>
      <w:numFmt w:val="upperRoman"/>
      <w:lvlText w:val="%1."/>
      <w:lvlJc w:val="left"/>
      <w:pPr>
        <w:tabs>
          <w:tab w:val="num" w:pos="720"/>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0">
    <w:nsid w:val="58835FE2"/>
    <w:multiLevelType w:val="hybridMultilevel"/>
    <w:tmpl w:val="B714FAB6"/>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C12E35"/>
    <w:multiLevelType w:val="multilevel"/>
    <w:tmpl w:val="11E26604"/>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73294C"/>
    <w:multiLevelType w:val="multilevel"/>
    <w:tmpl w:val="13340B32"/>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33">
    <w:nsid w:val="6AC4419B"/>
    <w:multiLevelType w:val="hybridMultilevel"/>
    <w:tmpl w:val="18805FE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D0537CC"/>
    <w:multiLevelType w:val="hybridMultilevel"/>
    <w:tmpl w:val="E9501E26"/>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E3654D"/>
    <w:multiLevelType w:val="multilevel"/>
    <w:tmpl w:val="806EA384"/>
    <w:lvl w:ilvl="0">
      <w:start w:val="1"/>
      <w:numFmt w:val="upperRoman"/>
      <w:lvlText w:val="%1."/>
      <w:lvlJc w:val="left"/>
      <w:pPr>
        <w:tabs>
          <w:tab w:val="num" w:pos="840"/>
        </w:tabs>
        <w:ind w:left="84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nsid w:val="6EC83C55"/>
    <w:multiLevelType w:val="hybridMultilevel"/>
    <w:tmpl w:val="096E44B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F851FE2"/>
    <w:multiLevelType w:val="hybridMultilevel"/>
    <w:tmpl w:val="791825D2"/>
    <w:lvl w:ilvl="0" w:tplc="6324EE42">
      <w:start w:val="3"/>
      <w:numFmt w:val="upperRoman"/>
      <w:lvlText w:val="%1."/>
      <w:lvlJc w:val="left"/>
      <w:pPr>
        <w:tabs>
          <w:tab w:val="num" w:pos="720"/>
        </w:tabs>
        <w:ind w:left="720" w:hanging="720"/>
      </w:pPr>
      <w:rPr>
        <w:rFonts w:hint="default"/>
      </w:rPr>
    </w:lvl>
    <w:lvl w:ilvl="1" w:tplc="735E79EE">
      <w:start w:val="1"/>
      <w:numFmt w:val="lowerLetter"/>
      <w:lvlText w:val="%2."/>
      <w:lvlJc w:val="left"/>
      <w:pPr>
        <w:tabs>
          <w:tab w:val="num" w:pos="1080"/>
        </w:tabs>
        <w:ind w:left="1080" w:hanging="360"/>
      </w:pPr>
      <w:rPr>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717B4AF5"/>
    <w:multiLevelType w:val="hybridMultilevel"/>
    <w:tmpl w:val="C4F8D4DE"/>
    <w:lvl w:ilvl="0" w:tplc="EA66E31E">
      <w:start w:val="1"/>
      <w:numFmt w:val="bullet"/>
      <w:lvlText w:val=""/>
      <w:lvlJc w:val="left"/>
      <w:pPr>
        <w:tabs>
          <w:tab w:val="num" w:pos="480"/>
        </w:tabs>
        <w:ind w:left="480" w:hanging="360"/>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9">
    <w:nsid w:val="717C7524"/>
    <w:multiLevelType w:val="hybridMultilevel"/>
    <w:tmpl w:val="65FA90EE"/>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62F39EA"/>
    <w:multiLevelType w:val="multilevel"/>
    <w:tmpl w:val="2C5E67E2"/>
    <w:lvl w:ilvl="0">
      <w:start w:val="1"/>
      <w:numFmt w:val="upperRoman"/>
      <w:lvlText w:val="%1."/>
      <w:lvlJc w:val="left"/>
      <w:pPr>
        <w:tabs>
          <w:tab w:val="num" w:pos="284"/>
        </w:tabs>
        <w:ind w:left="720" w:hanging="720"/>
      </w:pPr>
      <w:rPr>
        <w:rFonts w:hint="default"/>
      </w:rPr>
    </w:lvl>
    <w:lvl w:ilvl="1">
      <w:start w:val="1"/>
      <w:numFmt w:val="bullet"/>
      <w:lvlText w:val=""/>
      <w:lvlJc w:val="left"/>
      <w:pPr>
        <w:tabs>
          <w:tab w:val="num" w:pos="1320"/>
        </w:tabs>
        <w:ind w:left="1320" w:hanging="360"/>
      </w:pPr>
      <w:rPr>
        <w:rFonts w:ascii="Wingdings" w:hAnsi="Wingdings" w:hint="default"/>
      </w:r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41">
    <w:nsid w:val="7C272731"/>
    <w:multiLevelType w:val="hybridMultilevel"/>
    <w:tmpl w:val="5F5EFB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B50213"/>
    <w:multiLevelType w:val="hybridMultilevel"/>
    <w:tmpl w:val="76E819DC"/>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D131068"/>
    <w:multiLevelType w:val="hybridMultilevel"/>
    <w:tmpl w:val="E27E842E"/>
    <w:lvl w:ilvl="0" w:tplc="818EBC5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453EC2"/>
    <w:multiLevelType w:val="hybridMultilevel"/>
    <w:tmpl w:val="A3DCB27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5">
    <w:nsid w:val="7F762450"/>
    <w:multiLevelType w:val="hybridMultilevel"/>
    <w:tmpl w:val="AE64A880"/>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1"/>
  </w:num>
  <w:num w:numId="2">
    <w:abstractNumId w:val="41"/>
  </w:num>
  <w:num w:numId="3">
    <w:abstractNumId w:val="27"/>
  </w:num>
  <w:num w:numId="4">
    <w:abstractNumId w:val="36"/>
  </w:num>
  <w:num w:numId="5">
    <w:abstractNumId w:val="16"/>
  </w:num>
  <w:num w:numId="6">
    <w:abstractNumId w:val="33"/>
  </w:num>
  <w:num w:numId="7">
    <w:abstractNumId w:val="28"/>
  </w:num>
  <w:num w:numId="8">
    <w:abstractNumId w:val="26"/>
  </w:num>
  <w:num w:numId="9">
    <w:abstractNumId w:val="12"/>
  </w:num>
  <w:num w:numId="10">
    <w:abstractNumId w:val="45"/>
  </w:num>
  <w:num w:numId="11">
    <w:abstractNumId w:val="20"/>
  </w:num>
  <w:num w:numId="12">
    <w:abstractNumId w:val="13"/>
  </w:num>
  <w:num w:numId="13">
    <w:abstractNumId w:val="19"/>
  </w:num>
  <w:num w:numId="14">
    <w:abstractNumId w:val="30"/>
  </w:num>
  <w:num w:numId="15">
    <w:abstractNumId w:val="23"/>
  </w:num>
  <w:num w:numId="16">
    <w:abstractNumId w:val="34"/>
  </w:num>
  <w:num w:numId="17">
    <w:abstractNumId w:val="22"/>
  </w:num>
  <w:num w:numId="18">
    <w:abstractNumId w:val="39"/>
  </w:num>
  <w:num w:numId="19">
    <w:abstractNumId w:val="6"/>
  </w:num>
  <w:num w:numId="20">
    <w:abstractNumId w:val="38"/>
  </w:num>
  <w:num w:numId="21">
    <w:abstractNumId w:val="0"/>
  </w:num>
  <w:num w:numId="22">
    <w:abstractNumId w:val="2"/>
  </w:num>
  <w:num w:numId="23">
    <w:abstractNumId w:val="7"/>
  </w:num>
  <w:num w:numId="24">
    <w:abstractNumId w:val="11"/>
  </w:num>
  <w:num w:numId="25">
    <w:abstractNumId w:val="24"/>
  </w:num>
  <w:num w:numId="26">
    <w:abstractNumId w:val="42"/>
  </w:num>
  <w:num w:numId="27">
    <w:abstractNumId w:val="43"/>
  </w:num>
  <w:num w:numId="28">
    <w:abstractNumId w:val="44"/>
  </w:num>
  <w:num w:numId="29">
    <w:abstractNumId w:val="1"/>
  </w:num>
  <w:num w:numId="30">
    <w:abstractNumId w:val="3"/>
  </w:num>
  <w:num w:numId="31">
    <w:abstractNumId w:val="17"/>
  </w:num>
  <w:num w:numId="32">
    <w:abstractNumId w:val="31"/>
  </w:num>
  <w:num w:numId="33">
    <w:abstractNumId w:val="10"/>
  </w:num>
  <w:num w:numId="34">
    <w:abstractNumId w:val="35"/>
  </w:num>
  <w:num w:numId="35">
    <w:abstractNumId w:val="25"/>
  </w:num>
  <w:num w:numId="36">
    <w:abstractNumId w:val="29"/>
  </w:num>
  <w:num w:numId="37">
    <w:abstractNumId w:val="4"/>
  </w:num>
  <w:num w:numId="38">
    <w:abstractNumId w:val="9"/>
  </w:num>
  <w:num w:numId="39">
    <w:abstractNumId w:val="40"/>
  </w:num>
  <w:num w:numId="40">
    <w:abstractNumId w:val="32"/>
  </w:num>
  <w:num w:numId="41">
    <w:abstractNumId w:val="15"/>
  </w:num>
  <w:num w:numId="42">
    <w:abstractNumId w:val="14"/>
  </w:num>
  <w:num w:numId="43">
    <w:abstractNumId w:val="5"/>
  </w:num>
  <w:num w:numId="44">
    <w:abstractNumId w:val="8"/>
  </w:num>
  <w:num w:numId="45">
    <w:abstractNumId w:val="18"/>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4344AA"/>
    <w:rsid w:val="00046114"/>
    <w:rsid w:val="000474CE"/>
    <w:rsid w:val="00087779"/>
    <w:rsid w:val="000920C8"/>
    <w:rsid w:val="000950A5"/>
    <w:rsid w:val="000A33A6"/>
    <w:rsid w:val="000A5AEB"/>
    <w:rsid w:val="000B4DAA"/>
    <w:rsid w:val="000E2A4A"/>
    <w:rsid w:val="000E7D00"/>
    <w:rsid w:val="00110857"/>
    <w:rsid w:val="00126C28"/>
    <w:rsid w:val="00127DAC"/>
    <w:rsid w:val="001341D3"/>
    <w:rsid w:val="00161225"/>
    <w:rsid w:val="00166256"/>
    <w:rsid w:val="00190967"/>
    <w:rsid w:val="001A0748"/>
    <w:rsid w:val="001D4E55"/>
    <w:rsid w:val="001F6047"/>
    <w:rsid w:val="00207561"/>
    <w:rsid w:val="00237DB9"/>
    <w:rsid w:val="0027274F"/>
    <w:rsid w:val="00297003"/>
    <w:rsid w:val="002A022F"/>
    <w:rsid w:val="002A66C8"/>
    <w:rsid w:val="002A7CDB"/>
    <w:rsid w:val="002C480A"/>
    <w:rsid w:val="002D5294"/>
    <w:rsid w:val="002D6780"/>
    <w:rsid w:val="002D7DC2"/>
    <w:rsid w:val="002E6264"/>
    <w:rsid w:val="002F0D15"/>
    <w:rsid w:val="002F421C"/>
    <w:rsid w:val="00311B86"/>
    <w:rsid w:val="00311CB3"/>
    <w:rsid w:val="0032084A"/>
    <w:rsid w:val="003365E6"/>
    <w:rsid w:val="00340D88"/>
    <w:rsid w:val="003538FC"/>
    <w:rsid w:val="00360344"/>
    <w:rsid w:val="00372A78"/>
    <w:rsid w:val="00375799"/>
    <w:rsid w:val="00376323"/>
    <w:rsid w:val="00381C28"/>
    <w:rsid w:val="003909AE"/>
    <w:rsid w:val="00391772"/>
    <w:rsid w:val="003A23FF"/>
    <w:rsid w:val="003A2E3E"/>
    <w:rsid w:val="003A5A52"/>
    <w:rsid w:val="003B55E4"/>
    <w:rsid w:val="003C1AFC"/>
    <w:rsid w:val="003E7A4E"/>
    <w:rsid w:val="003E7D08"/>
    <w:rsid w:val="003F136C"/>
    <w:rsid w:val="004038B8"/>
    <w:rsid w:val="004050AE"/>
    <w:rsid w:val="00422F1E"/>
    <w:rsid w:val="004344AA"/>
    <w:rsid w:val="00457808"/>
    <w:rsid w:val="00465BE4"/>
    <w:rsid w:val="004674C8"/>
    <w:rsid w:val="00482782"/>
    <w:rsid w:val="00485A17"/>
    <w:rsid w:val="004A49F6"/>
    <w:rsid w:val="004A5010"/>
    <w:rsid w:val="004A5B1C"/>
    <w:rsid w:val="004B3FA2"/>
    <w:rsid w:val="004B6025"/>
    <w:rsid w:val="004F3C33"/>
    <w:rsid w:val="00517105"/>
    <w:rsid w:val="005321DB"/>
    <w:rsid w:val="0053317D"/>
    <w:rsid w:val="005331D2"/>
    <w:rsid w:val="00534D26"/>
    <w:rsid w:val="00536FA2"/>
    <w:rsid w:val="00553C62"/>
    <w:rsid w:val="005766B4"/>
    <w:rsid w:val="00581140"/>
    <w:rsid w:val="00582256"/>
    <w:rsid w:val="005904BC"/>
    <w:rsid w:val="005A7F3E"/>
    <w:rsid w:val="005B004B"/>
    <w:rsid w:val="005C306C"/>
    <w:rsid w:val="005E4D62"/>
    <w:rsid w:val="005F2D06"/>
    <w:rsid w:val="005F402D"/>
    <w:rsid w:val="0061090E"/>
    <w:rsid w:val="00614C74"/>
    <w:rsid w:val="00624F21"/>
    <w:rsid w:val="00666E19"/>
    <w:rsid w:val="00672EE2"/>
    <w:rsid w:val="00674921"/>
    <w:rsid w:val="00675845"/>
    <w:rsid w:val="00686421"/>
    <w:rsid w:val="00692FE6"/>
    <w:rsid w:val="0069455B"/>
    <w:rsid w:val="006C3DED"/>
    <w:rsid w:val="006D00E5"/>
    <w:rsid w:val="006D32E7"/>
    <w:rsid w:val="006E6D87"/>
    <w:rsid w:val="00700CA8"/>
    <w:rsid w:val="00700E45"/>
    <w:rsid w:val="0070401C"/>
    <w:rsid w:val="00710C87"/>
    <w:rsid w:val="0071605F"/>
    <w:rsid w:val="00720F25"/>
    <w:rsid w:val="00743A65"/>
    <w:rsid w:val="007474EA"/>
    <w:rsid w:val="007546BE"/>
    <w:rsid w:val="00772584"/>
    <w:rsid w:val="00775D21"/>
    <w:rsid w:val="0078006D"/>
    <w:rsid w:val="007807D0"/>
    <w:rsid w:val="00783CAB"/>
    <w:rsid w:val="007B23C1"/>
    <w:rsid w:val="007B618D"/>
    <w:rsid w:val="007D5453"/>
    <w:rsid w:val="007E7297"/>
    <w:rsid w:val="007F27E1"/>
    <w:rsid w:val="00810493"/>
    <w:rsid w:val="00810E7D"/>
    <w:rsid w:val="008270CD"/>
    <w:rsid w:val="00827EF3"/>
    <w:rsid w:val="00830ABA"/>
    <w:rsid w:val="00837A1E"/>
    <w:rsid w:val="00857FDA"/>
    <w:rsid w:val="00862D6F"/>
    <w:rsid w:val="00865580"/>
    <w:rsid w:val="00881A89"/>
    <w:rsid w:val="0088423A"/>
    <w:rsid w:val="00892A62"/>
    <w:rsid w:val="00897C79"/>
    <w:rsid w:val="008A7FBB"/>
    <w:rsid w:val="008B0CC3"/>
    <w:rsid w:val="008E2FCA"/>
    <w:rsid w:val="008F3AEC"/>
    <w:rsid w:val="009079D1"/>
    <w:rsid w:val="0091155E"/>
    <w:rsid w:val="009206EA"/>
    <w:rsid w:val="0092155E"/>
    <w:rsid w:val="009228FF"/>
    <w:rsid w:val="00947067"/>
    <w:rsid w:val="009635D8"/>
    <w:rsid w:val="00985D94"/>
    <w:rsid w:val="00996244"/>
    <w:rsid w:val="009A609F"/>
    <w:rsid w:val="009A7793"/>
    <w:rsid w:val="009C0496"/>
    <w:rsid w:val="009C291E"/>
    <w:rsid w:val="009F7AEC"/>
    <w:rsid w:val="00A143C6"/>
    <w:rsid w:val="00A15EB6"/>
    <w:rsid w:val="00A332A3"/>
    <w:rsid w:val="00A43E8B"/>
    <w:rsid w:val="00A518EF"/>
    <w:rsid w:val="00A65A13"/>
    <w:rsid w:val="00A66CD1"/>
    <w:rsid w:val="00A77924"/>
    <w:rsid w:val="00AA073C"/>
    <w:rsid w:val="00AA1D6C"/>
    <w:rsid w:val="00AB584B"/>
    <w:rsid w:val="00AC4EEC"/>
    <w:rsid w:val="00AD7AB1"/>
    <w:rsid w:val="00AE2F52"/>
    <w:rsid w:val="00AF104A"/>
    <w:rsid w:val="00AF2D2F"/>
    <w:rsid w:val="00AF75BE"/>
    <w:rsid w:val="00B33F2D"/>
    <w:rsid w:val="00B400EA"/>
    <w:rsid w:val="00B555EA"/>
    <w:rsid w:val="00B6228D"/>
    <w:rsid w:val="00B7183D"/>
    <w:rsid w:val="00BB019D"/>
    <w:rsid w:val="00BC353C"/>
    <w:rsid w:val="00BC7858"/>
    <w:rsid w:val="00BF236C"/>
    <w:rsid w:val="00C07B28"/>
    <w:rsid w:val="00C26A0F"/>
    <w:rsid w:val="00C32FB2"/>
    <w:rsid w:val="00C43BA8"/>
    <w:rsid w:val="00C43CD5"/>
    <w:rsid w:val="00C45CA5"/>
    <w:rsid w:val="00C805B4"/>
    <w:rsid w:val="00C83111"/>
    <w:rsid w:val="00C92F1E"/>
    <w:rsid w:val="00C97B2A"/>
    <w:rsid w:val="00CA252E"/>
    <w:rsid w:val="00CA5A1F"/>
    <w:rsid w:val="00CB09E0"/>
    <w:rsid w:val="00CB0A38"/>
    <w:rsid w:val="00CC2927"/>
    <w:rsid w:val="00CD5103"/>
    <w:rsid w:val="00CE58F9"/>
    <w:rsid w:val="00D00E4A"/>
    <w:rsid w:val="00D04D84"/>
    <w:rsid w:val="00D1462B"/>
    <w:rsid w:val="00D40278"/>
    <w:rsid w:val="00D741D2"/>
    <w:rsid w:val="00D86384"/>
    <w:rsid w:val="00DB3A93"/>
    <w:rsid w:val="00DD767C"/>
    <w:rsid w:val="00DF2A7B"/>
    <w:rsid w:val="00E62E4A"/>
    <w:rsid w:val="00EA39FF"/>
    <w:rsid w:val="00EB1174"/>
    <w:rsid w:val="00EB21BB"/>
    <w:rsid w:val="00EC0F52"/>
    <w:rsid w:val="00EC5C51"/>
    <w:rsid w:val="00ED7472"/>
    <w:rsid w:val="00ED7B16"/>
    <w:rsid w:val="00F050FD"/>
    <w:rsid w:val="00F56984"/>
    <w:rsid w:val="00F8202F"/>
    <w:rsid w:val="00F87D22"/>
    <w:rsid w:val="00F904D2"/>
    <w:rsid w:val="00FA0989"/>
    <w:rsid w:val="00FC24AB"/>
    <w:rsid w:val="00FD6E4E"/>
    <w:rsid w:val="00FE1FAD"/>
    <w:rsid w:val="00FF4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4AA"/>
    <w:rPr>
      <w:sz w:val="24"/>
      <w:szCs w:val="24"/>
    </w:rPr>
  </w:style>
  <w:style w:type="paragraph" w:styleId="Heading1">
    <w:name w:val="heading 1"/>
    <w:basedOn w:val="Normal"/>
    <w:qFormat/>
    <w:rsid w:val="007D5453"/>
    <w:pPr>
      <w:spacing w:before="100" w:beforeAutospacing="1" w:after="360"/>
      <w:outlineLvl w:val="0"/>
    </w:pPr>
    <w:rPr>
      <w:b/>
      <w:bCs/>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rsid w:val="00AF75BE"/>
    <w:pPr>
      <w:jc w:val="center"/>
    </w:pPr>
    <w:rPr>
      <w:b/>
      <w:sz w:val="28"/>
      <w:szCs w:val="28"/>
      <w:lang w:val="ro-RO"/>
    </w:rPr>
  </w:style>
  <w:style w:type="paragraph" w:customStyle="1" w:styleId="Style5">
    <w:name w:val="Style5"/>
    <w:basedOn w:val="Normal"/>
    <w:autoRedefine/>
    <w:rsid w:val="00AF75BE"/>
    <w:pPr>
      <w:jc w:val="center"/>
    </w:pPr>
    <w:rPr>
      <w:b/>
      <w:sz w:val="28"/>
      <w:szCs w:val="28"/>
      <w:lang w:val="ro-RO"/>
    </w:rPr>
  </w:style>
  <w:style w:type="paragraph" w:styleId="Footer">
    <w:name w:val="footer"/>
    <w:basedOn w:val="Normal"/>
    <w:rsid w:val="004344AA"/>
    <w:pPr>
      <w:tabs>
        <w:tab w:val="center" w:pos="4320"/>
        <w:tab w:val="right" w:pos="8640"/>
      </w:tabs>
    </w:pPr>
  </w:style>
  <w:style w:type="character" w:styleId="PageNumber">
    <w:name w:val="page number"/>
    <w:basedOn w:val="DefaultParagraphFont"/>
    <w:rsid w:val="004344AA"/>
  </w:style>
  <w:style w:type="table" w:styleId="TableGrid">
    <w:name w:val="Table Grid"/>
    <w:basedOn w:val="TableNormal"/>
    <w:rsid w:val="004344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F104A"/>
    <w:rPr>
      <w:strike w:val="0"/>
      <w:dstrike w:val="0"/>
      <w:color w:val="000000"/>
      <w:u w:val="none"/>
      <w:effect w:val="none"/>
    </w:rPr>
  </w:style>
  <w:style w:type="character" w:customStyle="1" w:styleId="citation-abbreviation">
    <w:name w:val="citation-abbreviation"/>
    <w:basedOn w:val="DefaultParagraphFont"/>
    <w:rsid w:val="007D5453"/>
  </w:style>
  <w:style w:type="character" w:customStyle="1" w:styleId="citation-publication-date">
    <w:name w:val="citation-publication-date"/>
    <w:basedOn w:val="DefaultParagraphFont"/>
    <w:rsid w:val="007D5453"/>
  </w:style>
  <w:style w:type="character" w:customStyle="1" w:styleId="citation-volume">
    <w:name w:val="citation-volume"/>
    <w:basedOn w:val="DefaultParagraphFont"/>
    <w:rsid w:val="007D5453"/>
  </w:style>
  <w:style w:type="character" w:customStyle="1" w:styleId="citation-issue">
    <w:name w:val="citation-issue"/>
    <w:basedOn w:val="DefaultParagraphFont"/>
    <w:rsid w:val="007D5453"/>
  </w:style>
  <w:style w:type="character" w:customStyle="1" w:styleId="citation-flpages">
    <w:name w:val="citation-flpages"/>
    <w:basedOn w:val="DefaultParagraphFont"/>
    <w:rsid w:val="007D5453"/>
  </w:style>
  <w:style w:type="paragraph" w:styleId="FootnoteText">
    <w:name w:val="footnote text"/>
    <w:basedOn w:val="Normal"/>
    <w:semiHidden/>
    <w:rsid w:val="005F2D06"/>
    <w:rPr>
      <w:sz w:val="20"/>
      <w:szCs w:val="20"/>
    </w:rPr>
  </w:style>
  <w:style w:type="character" w:styleId="FootnoteReference">
    <w:name w:val="footnote reference"/>
    <w:basedOn w:val="DefaultParagraphFont"/>
    <w:semiHidden/>
    <w:rsid w:val="005F2D06"/>
    <w:rPr>
      <w:vertAlign w:val="superscript"/>
    </w:rPr>
  </w:style>
  <w:style w:type="character" w:customStyle="1" w:styleId="apple-converted-space">
    <w:name w:val="apple-converted-space"/>
    <w:basedOn w:val="DefaultParagraphFont"/>
    <w:rsid w:val="009206EA"/>
  </w:style>
  <w:style w:type="paragraph" w:styleId="EndnoteText">
    <w:name w:val="endnote text"/>
    <w:basedOn w:val="Normal"/>
    <w:link w:val="EndnoteTextChar"/>
    <w:rsid w:val="0069455B"/>
    <w:rPr>
      <w:sz w:val="20"/>
      <w:szCs w:val="20"/>
    </w:rPr>
  </w:style>
  <w:style w:type="character" w:customStyle="1" w:styleId="EndnoteTextChar">
    <w:name w:val="Endnote Text Char"/>
    <w:basedOn w:val="DefaultParagraphFont"/>
    <w:link w:val="EndnoteText"/>
    <w:rsid w:val="0069455B"/>
  </w:style>
  <w:style w:type="character" w:styleId="EndnoteReference">
    <w:name w:val="endnote reference"/>
    <w:basedOn w:val="DefaultParagraphFont"/>
    <w:rsid w:val="0069455B"/>
    <w:rPr>
      <w:vertAlign w:val="superscript"/>
    </w:rPr>
  </w:style>
  <w:style w:type="paragraph" w:styleId="NormalWeb">
    <w:name w:val="Normal (Web)"/>
    <w:basedOn w:val="Normal"/>
    <w:uiPriority w:val="99"/>
    <w:unhideWhenUsed/>
    <w:rsid w:val="004F3C33"/>
    <w:pPr>
      <w:spacing w:before="100" w:beforeAutospacing="1" w:after="100" w:afterAutospacing="1"/>
    </w:pPr>
  </w:style>
  <w:style w:type="character" w:styleId="Strong">
    <w:name w:val="Strong"/>
    <w:basedOn w:val="DefaultParagraphFont"/>
    <w:uiPriority w:val="22"/>
    <w:qFormat/>
    <w:rsid w:val="004F3C33"/>
    <w:rPr>
      <w:b/>
      <w:bCs/>
    </w:rPr>
  </w:style>
</w:styles>
</file>

<file path=word/webSettings.xml><?xml version="1.0" encoding="utf-8"?>
<w:webSettings xmlns:r="http://schemas.openxmlformats.org/officeDocument/2006/relationships" xmlns:w="http://schemas.openxmlformats.org/wordprocessingml/2006/main">
  <w:divs>
    <w:div w:id="76370129">
      <w:bodyDiv w:val="1"/>
      <w:marLeft w:val="0"/>
      <w:marRight w:val="0"/>
      <w:marTop w:val="0"/>
      <w:marBottom w:val="0"/>
      <w:divBdr>
        <w:top w:val="none" w:sz="0" w:space="0" w:color="auto"/>
        <w:left w:val="none" w:sz="0" w:space="0" w:color="auto"/>
        <w:bottom w:val="none" w:sz="0" w:space="0" w:color="auto"/>
        <w:right w:val="none" w:sz="0" w:space="0" w:color="auto"/>
      </w:divBdr>
      <w:divsChild>
        <w:div w:id="1407923480">
          <w:marLeft w:val="0"/>
          <w:marRight w:val="0"/>
          <w:marTop w:val="0"/>
          <w:marBottom w:val="0"/>
          <w:divBdr>
            <w:top w:val="none" w:sz="0" w:space="0" w:color="auto"/>
            <w:left w:val="none" w:sz="0" w:space="0" w:color="auto"/>
            <w:bottom w:val="none" w:sz="0" w:space="0" w:color="auto"/>
            <w:right w:val="none" w:sz="0" w:space="0" w:color="auto"/>
          </w:divBdr>
          <w:divsChild>
            <w:div w:id="792863308">
              <w:marLeft w:val="0"/>
              <w:marRight w:val="0"/>
              <w:marTop w:val="0"/>
              <w:marBottom w:val="0"/>
              <w:divBdr>
                <w:top w:val="none" w:sz="0" w:space="0" w:color="auto"/>
                <w:left w:val="none" w:sz="0" w:space="0" w:color="auto"/>
                <w:bottom w:val="none" w:sz="0" w:space="0" w:color="auto"/>
                <w:right w:val="none" w:sz="0" w:space="0" w:color="auto"/>
              </w:divBdr>
              <w:divsChild>
                <w:div w:id="1423405569">
                  <w:marLeft w:val="0"/>
                  <w:marRight w:val="0"/>
                  <w:marTop w:val="0"/>
                  <w:marBottom w:val="0"/>
                  <w:divBdr>
                    <w:top w:val="none" w:sz="0" w:space="0" w:color="auto"/>
                    <w:left w:val="none" w:sz="0" w:space="0" w:color="auto"/>
                    <w:bottom w:val="none" w:sz="0" w:space="0" w:color="auto"/>
                    <w:right w:val="none" w:sz="0" w:space="0" w:color="auto"/>
                  </w:divBdr>
                  <w:divsChild>
                    <w:div w:id="770246208">
                      <w:marLeft w:val="0"/>
                      <w:marRight w:val="0"/>
                      <w:marTop w:val="0"/>
                      <w:marBottom w:val="0"/>
                      <w:divBdr>
                        <w:top w:val="none" w:sz="0" w:space="0" w:color="auto"/>
                        <w:left w:val="none" w:sz="0" w:space="0" w:color="auto"/>
                        <w:bottom w:val="none" w:sz="0" w:space="0" w:color="auto"/>
                        <w:right w:val="none" w:sz="0" w:space="0" w:color="auto"/>
                      </w:divBdr>
                      <w:divsChild>
                        <w:div w:id="1773471145">
                          <w:marLeft w:val="0"/>
                          <w:marRight w:val="0"/>
                          <w:marTop w:val="0"/>
                          <w:marBottom w:val="0"/>
                          <w:divBdr>
                            <w:top w:val="none" w:sz="0" w:space="0" w:color="auto"/>
                            <w:left w:val="none" w:sz="0" w:space="0" w:color="auto"/>
                            <w:bottom w:val="none" w:sz="0" w:space="0" w:color="auto"/>
                            <w:right w:val="none" w:sz="0" w:space="0" w:color="auto"/>
                          </w:divBdr>
                          <w:divsChild>
                            <w:div w:id="1428693454">
                              <w:marLeft w:val="0"/>
                              <w:marRight w:val="0"/>
                              <w:marTop w:val="0"/>
                              <w:marBottom w:val="0"/>
                              <w:divBdr>
                                <w:top w:val="none" w:sz="0" w:space="0" w:color="auto"/>
                                <w:left w:val="none" w:sz="0" w:space="0" w:color="auto"/>
                                <w:bottom w:val="none" w:sz="0" w:space="0" w:color="auto"/>
                                <w:right w:val="none" w:sz="0" w:space="0" w:color="auto"/>
                              </w:divBdr>
                              <w:divsChild>
                                <w:div w:id="1220442136">
                                  <w:marLeft w:val="0"/>
                                  <w:marRight w:val="0"/>
                                  <w:marTop w:val="0"/>
                                  <w:marBottom w:val="0"/>
                                  <w:divBdr>
                                    <w:top w:val="none" w:sz="0" w:space="0" w:color="auto"/>
                                    <w:left w:val="none" w:sz="0" w:space="0" w:color="auto"/>
                                    <w:bottom w:val="none" w:sz="0" w:space="0" w:color="auto"/>
                                    <w:right w:val="none" w:sz="0" w:space="0" w:color="auto"/>
                                  </w:divBdr>
                                  <w:divsChild>
                                    <w:div w:id="1448742845">
                                      <w:marLeft w:val="0"/>
                                      <w:marRight w:val="0"/>
                                      <w:marTop w:val="0"/>
                                      <w:marBottom w:val="0"/>
                                      <w:divBdr>
                                        <w:top w:val="none" w:sz="0" w:space="0" w:color="auto"/>
                                        <w:left w:val="none" w:sz="0" w:space="0" w:color="auto"/>
                                        <w:bottom w:val="none" w:sz="0" w:space="0" w:color="auto"/>
                                        <w:right w:val="none" w:sz="0" w:space="0" w:color="auto"/>
                                      </w:divBdr>
                                      <w:divsChild>
                                        <w:div w:id="1850637233">
                                          <w:marLeft w:val="0"/>
                                          <w:marRight w:val="0"/>
                                          <w:marTop w:val="0"/>
                                          <w:marBottom w:val="0"/>
                                          <w:divBdr>
                                            <w:top w:val="none" w:sz="0" w:space="0" w:color="auto"/>
                                            <w:left w:val="none" w:sz="0" w:space="0" w:color="auto"/>
                                            <w:bottom w:val="none" w:sz="0" w:space="0" w:color="auto"/>
                                            <w:right w:val="none" w:sz="0" w:space="0" w:color="auto"/>
                                          </w:divBdr>
                                          <w:divsChild>
                                            <w:div w:id="43719778">
                                              <w:marLeft w:val="0"/>
                                              <w:marRight w:val="0"/>
                                              <w:marTop w:val="0"/>
                                              <w:marBottom w:val="0"/>
                                              <w:divBdr>
                                                <w:top w:val="none" w:sz="0" w:space="0" w:color="auto"/>
                                                <w:left w:val="none" w:sz="0" w:space="0" w:color="auto"/>
                                                <w:bottom w:val="none" w:sz="0" w:space="0" w:color="auto"/>
                                                <w:right w:val="none" w:sz="0" w:space="0" w:color="auto"/>
                                              </w:divBdr>
                                              <w:divsChild>
                                                <w:div w:id="366640013">
                                                  <w:marLeft w:val="0"/>
                                                  <w:marRight w:val="0"/>
                                                  <w:marTop w:val="0"/>
                                                  <w:marBottom w:val="0"/>
                                                  <w:divBdr>
                                                    <w:top w:val="none" w:sz="0" w:space="0" w:color="auto"/>
                                                    <w:left w:val="none" w:sz="0" w:space="0" w:color="auto"/>
                                                    <w:bottom w:val="none" w:sz="0" w:space="0" w:color="auto"/>
                                                    <w:right w:val="none" w:sz="0" w:space="0" w:color="auto"/>
                                                  </w:divBdr>
                                                  <w:divsChild>
                                                    <w:div w:id="11098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1318389">
      <w:bodyDiv w:val="1"/>
      <w:marLeft w:val="0"/>
      <w:marRight w:val="0"/>
      <w:marTop w:val="0"/>
      <w:marBottom w:val="0"/>
      <w:divBdr>
        <w:top w:val="none" w:sz="0" w:space="0" w:color="auto"/>
        <w:left w:val="none" w:sz="0" w:space="0" w:color="auto"/>
        <w:bottom w:val="none" w:sz="0" w:space="0" w:color="auto"/>
        <w:right w:val="none" w:sz="0" w:space="0" w:color="auto"/>
      </w:divBdr>
    </w:div>
    <w:div w:id="850340919">
      <w:bodyDiv w:val="1"/>
      <w:marLeft w:val="0"/>
      <w:marRight w:val="0"/>
      <w:marTop w:val="0"/>
      <w:marBottom w:val="0"/>
      <w:divBdr>
        <w:top w:val="none" w:sz="0" w:space="0" w:color="auto"/>
        <w:left w:val="none" w:sz="0" w:space="0" w:color="auto"/>
        <w:bottom w:val="none" w:sz="0" w:space="0" w:color="auto"/>
        <w:right w:val="none" w:sz="0" w:space="0" w:color="auto"/>
      </w:divBdr>
    </w:div>
    <w:div w:id="1227110224">
      <w:bodyDiv w:val="1"/>
      <w:marLeft w:val="0"/>
      <w:marRight w:val="0"/>
      <w:marTop w:val="0"/>
      <w:marBottom w:val="0"/>
      <w:divBdr>
        <w:top w:val="none" w:sz="0" w:space="0" w:color="auto"/>
        <w:left w:val="none" w:sz="0" w:space="0" w:color="auto"/>
        <w:bottom w:val="none" w:sz="0" w:space="0" w:color="auto"/>
        <w:right w:val="none" w:sz="0" w:space="0" w:color="auto"/>
      </w:divBdr>
    </w:div>
    <w:div w:id="1246384093">
      <w:bodyDiv w:val="1"/>
      <w:marLeft w:val="0"/>
      <w:marRight w:val="0"/>
      <w:marTop w:val="0"/>
      <w:marBottom w:val="0"/>
      <w:divBdr>
        <w:top w:val="none" w:sz="0" w:space="0" w:color="auto"/>
        <w:left w:val="none" w:sz="0" w:space="0" w:color="auto"/>
        <w:bottom w:val="none" w:sz="0" w:space="0" w:color="auto"/>
        <w:right w:val="none" w:sz="0" w:space="0" w:color="auto"/>
      </w:divBdr>
      <w:divsChild>
        <w:div w:id="2099860254">
          <w:marLeft w:val="0"/>
          <w:marRight w:val="0"/>
          <w:marTop w:val="0"/>
          <w:marBottom w:val="0"/>
          <w:divBdr>
            <w:top w:val="none" w:sz="0" w:space="0" w:color="auto"/>
            <w:left w:val="none" w:sz="0" w:space="0" w:color="auto"/>
            <w:bottom w:val="none" w:sz="0" w:space="0" w:color="auto"/>
            <w:right w:val="none" w:sz="0" w:space="0" w:color="auto"/>
          </w:divBdr>
          <w:divsChild>
            <w:div w:id="1662583631">
              <w:marLeft w:val="400"/>
              <w:marRight w:val="0"/>
              <w:marTop w:val="0"/>
              <w:marBottom w:val="0"/>
              <w:divBdr>
                <w:top w:val="none" w:sz="0" w:space="0" w:color="auto"/>
                <w:left w:val="none" w:sz="0" w:space="0" w:color="auto"/>
                <w:bottom w:val="none" w:sz="0" w:space="0" w:color="auto"/>
                <w:right w:val="none" w:sz="0" w:space="0" w:color="auto"/>
              </w:divBdr>
              <w:divsChild>
                <w:div w:id="1967659886">
                  <w:marLeft w:val="0"/>
                  <w:marRight w:val="0"/>
                  <w:marTop w:val="0"/>
                  <w:marBottom w:val="280"/>
                  <w:divBdr>
                    <w:top w:val="none" w:sz="0" w:space="0" w:color="auto"/>
                    <w:left w:val="none" w:sz="0" w:space="0" w:color="auto"/>
                    <w:bottom w:val="none" w:sz="0" w:space="0" w:color="auto"/>
                    <w:right w:val="none" w:sz="0" w:space="0" w:color="auto"/>
                  </w:divBdr>
                  <w:divsChild>
                    <w:div w:id="9900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33090">
      <w:bodyDiv w:val="1"/>
      <w:marLeft w:val="0"/>
      <w:marRight w:val="0"/>
      <w:marTop w:val="0"/>
      <w:marBottom w:val="0"/>
      <w:divBdr>
        <w:top w:val="none" w:sz="0" w:space="0" w:color="auto"/>
        <w:left w:val="none" w:sz="0" w:space="0" w:color="auto"/>
        <w:bottom w:val="none" w:sz="0" w:space="0" w:color="auto"/>
        <w:right w:val="none" w:sz="0" w:space="0" w:color="auto"/>
      </w:divBdr>
      <w:divsChild>
        <w:div w:id="8525904">
          <w:marLeft w:val="0"/>
          <w:marRight w:val="0"/>
          <w:marTop w:val="0"/>
          <w:marBottom w:val="0"/>
          <w:divBdr>
            <w:top w:val="none" w:sz="0" w:space="0" w:color="auto"/>
            <w:left w:val="none" w:sz="0" w:space="0" w:color="auto"/>
            <w:bottom w:val="none" w:sz="0" w:space="0" w:color="auto"/>
            <w:right w:val="none" w:sz="0" w:space="0" w:color="auto"/>
          </w:divBdr>
          <w:divsChild>
            <w:div w:id="1274751746">
              <w:marLeft w:val="400"/>
              <w:marRight w:val="0"/>
              <w:marTop w:val="0"/>
              <w:marBottom w:val="0"/>
              <w:divBdr>
                <w:top w:val="none" w:sz="0" w:space="0" w:color="auto"/>
                <w:left w:val="none" w:sz="0" w:space="0" w:color="auto"/>
                <w:bottom w:val="none" w:sz="0" w:space="0" w:color="auto"/>
                <w:right w:val="none" w:sz="0" w:space="0" w:color="auto"/>
              </w:divBdr>
              <w:divsChild>
                <w:div w:id="1739160556">
                  <w:marLeft w:val="0"/>
                  <w:marRight w:val="0"/>
                  <w:marTop w:val="0"/>
                  <w:marBottom w:val="280"/>
                  <w:divBdr>
                    <w:top w:val="none" w:sz="0" w:space="0" w:color="auto"/>
                    <w:left w:val="none" w:sz="0" w:space="0" w:color="auto"/>
                    <w:bottom w:val="none" w:sz="0" w:space="0" w:color="auto"/>
                    <w:right w:val="none" w:sz="0" w:space="0" w:color="auto"/>
                  </w:divBdr>
                  <w:divsChild>
                    <w:div w:id="9646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288166">
      <w:bodyDiv w:val="1"/>
      <w:marLeft w:val="0"/>
      <w:marRight w:val="0"/>
      <w:marTop w:val="0"/>
      <w:marBottom w:val="0"/>
      <w:divBdr>
        <w:top w:val="none" w:sz="0" w:space="0" w:color="auto"/>
        <w:left w:val="none" w:sz="0" w:space="0" w:color="auto"/>
        <w:bottom w:val="none" w:sz="0" w:space="0" w:color="auto"/>
        <w:right w:val="none" w:sz="0" w:space="0" w:color="auto"/>
      </w:divBdr>
    </w:div>
    <w:div w:id="1719235367">
      <w:bodyDiv w:val="1"/>
      <w:marLeft w:val="0"/>
      <w:marRight w:val="0"/>
      <w:marTop w:val="0"/>
      <w:marBottom w:val="0"/>
      <w:divBdr>
        <w:top w:val="none" w:sz="0" w:space="0" w:color="auto"/>
        <w:left w:val="none" w:sz="0" w:space="0" w:color="auto"/>
        <w:bottom w:val="none" w:sz="0" w:space="0" w:color="auto"/>
        <w:right w:val="none" w:sz="0" w:space="0" w:color="auto"/>
      </w:divBdr>
      <w:divsChild>
        <w:div w:id="44109495">
          <w:marLeft w:val="0"/>
          <w:marRight w:val="0"/>
          <w:marTop w:val="0"/>
          <w:marBottom w:val="0"/>
          <w:divBdr>
            <w:top w:val="none" w:sz="0" w:space="0" w:color="auto"/>
            <w:left w:val="none" w:sz="0" w:space="0" w:color="auto"/>
            <w:bottom w:val="none" w:sz="0" w:space="0" w:color="auto"/>
            <w:right w:val="none" w:sz="0" w:space="0" w:color="auto"/>
          </w:divBdr>
          <w:divsChild>
            <w:div w:id="38476463">
              <w:marLeft w:val="0"/>
              <w:marRight w:val="0"/>
              <w:marTop w:val="0"/>
              <w:marBottom w:val="0"/>
              <w:divBdr>
                <w:top w:val="none" w:sz="0" w:space="0" w:color="auto"/>
                <w:left w:val="none" w:sz="0" w:space="0" w:color="auto"/>
                <w:bottom w:val="none" w:sz="0" w:space="0" w:color="auto"/>
                <w:right w:val="none" w:sz="0" w:space="0" w:color="auto"/>
              </w:divBdr>
            </w:div>
            <w:div w:id="294337774">
              <w:marLeft w:val="0"/>
              <w:marRight w:val="0"/>
              <w:marTop w:val="0"/>
              <w:marBottom w:val="0"/>
              <w:divBdr>
                <w:top w:val="none" w:sz="0" w:space="0" w:color="auto"/>
                <w:left w:val="none" w:sz="0" w:space="0" w:color="auto"/>
                <w:bottom w:val="none" w:sz="0" w:space="0" w:color="auto"/>
                <w:right w:val="none" w:sz="0" w:space="0" w:color="auto"/>
              </w:divBdr>
            </w:div>
            <w:div w:id="652563659">
              <w:marLeft w:val="0"/>
              <w:marRight w:val="0"/>
              <w:marTop w:val="0"/>
              <w:marBottom w:val="0"/>
              <w:divBdr>
                <w:top w:val="none" w:sz="0" w:space="0" w:color="auto"/>
                <w:left w:val="none" w:sz="0" w:space="0" w:color="auto"/>
                <w:bottom w:val="none" w:sz="0" w:space="0" w:color="auto"/>
                <w:right w:val="none" w:sz="0" w:space="0" w:color="auto"/>
              </w:divBdr>
            </w:div>
            <w:div w:id="759133679">
              <w:marLeft w:val="0"/>
              <w:marRight w:val="0"/>
              <w:marTop w:val="0"/>
              <w:marBottom w:val="0"/>
              <w:divBdr>
                <w:top w:val="none" w:sz="0" w:space="0" w:color="auto"/>
                <w:left w:val="none" w:sz="0" w:space="0" w:color="auto"/>
                <w:bottom w:val="none" w:sz="0" w:space="0" w:color="auto"/>
                <w:right w:val="none" w:sz="0" w:space="0" w:color="auto"/>
              </w:divBdr>
            </w:div>
            <w:div w:id="1251500026">
              <w:marLeft w:val="0"/>
              <w:marRight w:val="0"/>
              <w:marTop w:val="0"/>
              <w:marBottom w:val="0"/>
              <w:divBdr>
                <w:top w:val="none" w:sz="0" w:space="0" w:color="auto"/>
                <w:left w:val="none" w:sz="0" w:space="0" w:color="auto"/>
                <w:bottom w:val="none" w:sz="0" w:space="0" w:color="auto"/>
                <w:right w:val="none" w:sz="0" w:space="0" w:color="auto"/>
              </w:divBdr>
            </w:div>
          </w:divsChild>
        </w:div>
        <w:div w:id="188035718">
          <w:marLeft w:val="0"/>
          <w:marRight w:val="0"/>
          <w:marTop w:val="0"/>
          <w:marBottom w:val="0"/>
          <w:divBdr>
            <w:top w:val="none" w:sz="0" w:space="0" w:color="auto"/>
            <w:left w:val="none" w:sz="0" w:space="0" w:color="auto"/>
            <w:bottom w:val="none" w:sz="0" w:space="0" w:color="auto"/>
            <w:right w:val="none" w:sz="0" w:space="0" w:color="auto"/>
          </w:divBdr>
        </w:div>
      </w:divsChild>
    </w:div>
    <w:div w:id="1780220494">
      <w:bodyDiv w:val="1"/>
      <w:marLeft w:val="0"/>
      <w:marRight w:val="0"/>
      <w:marTop w:val="0"/>
      <w:marBottom w:val="0"/>
      <w:divBdr>
        <w:top w:val="none" w:sz="0" w:space="0" w:color="auto"/>
        <w:left w:val="none" w:sz="0" w:space="0" w:color="auto"/>
        <w:bottom w:val="none" w:sz="0" w:space="0" w:color="auto"/>
        <w:right w:val="none" w:sz="0" w:space="0" w:color="auto"/>
      </w:divBdr>
      <w:divsChild>
        <w:div w:id="1506096771">
          <w:marLeft w:val="300"/>
          <w:marRight w:val="7400"/>
          <w:marTop w:val="2800"/>
          <w:marBottom w:val="0"/>
          <w:divBdr>
            <w:top w:val="none" w:sz="0" w:space="0" w:color="auto"/>
            <w:left w:val="none" w:sz="0" w:space="0" w:color="auto"/>
            <w:bottom w:val="none" w:sz="0" w:space="0" w:color="auto"/>
            <w:right w:val="none" w:sz="0" w:space="0" w:color="auto"/>
          </w:divBdr>
        </w:div>
      </w:divsChild>
    </w:div>
    <w:div w:id="1821650650">
      <w:bodyDiv w:val="1"/>
      <w:marLeft w:val="0"/>
      <w:marRight w:val="0"/>
      <w:marTop w:val="0"/>
      <w:marBottom w:val="0"/>
      <w:divBdr>
        <w:top w:val="none" w:sz="0" w:space="0" w:color="auto"/>
        <w:left w:val="none" w:sz="0" w:space="0" w:color="auto"/>
        <w:bottom w:val="none" w:sz="0" w:space="0" w:color="auto"/>
        <w:right w:val="none" w:sz="0" w:space="0" w:color="auto"/>
      </w:divBdr>
    </w:div>
    <w:div w:id="1877424313">
      <w:bodyDiv w:val="1"/>
      <w:marLeft w:val="0"/>
      <w:marRight w:val="0"/>
      <w:marTop w:val="0"/>
      <w:marBottom w:val="0"/>
      <w:divBdr>
        <w:top w:val="none" w:sz="0" w:space="0" w:color="auto"/>
        <w:left w:val="none" w:sz="0" w:space="0" w:color="auto"/>
        <w:bottom w:val="none" w:sz="0" w:space="0" w:color="auto"/>
        <w:right w:val="none" w:sz="0" w:space="0" w:color="auto"/>
      </w:divBdr>
    </w:div>
    <w:div w:id="1989482236">
      <w:bodyDiv w:val="1"/>
      <w:marLeft w:val="0"/>
      <w:marRight w:val="0"/>
      <w:marTop w:val="0"/>
      <w:marBottom w:val="0"/>
      <w:divBdr>
        <w:top w:val="none" w:sz="0" w:space="0" w:color="auto"/>
        <w:left w:val="none" w:sz="0" w:space="0" w:color="auto"/>
        <w:bottom w:val="none" w:sz="0" w:space="0" w:color="auto"/>
        <w:right w:val="none" w:sz="0" w:space="0" w:color="auto"/>
      </w:divBdr>
    </w:div>
    <w:div w:id="205746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pgn.net/web/uploadfile/2011/" TargetMode="External"/><Relationship Id="rId2" Type="http://schemas.openxmlformats.org/officeDocument/2006/relationships/hyperlink" Target="http://www.ish-world.com/Documents/PocketGL_ENGLISH_EUR-A-B.PDF" TargetMode="External"/><Relationship Id="rId1" Type="http://schemas.openxmlformats.org/officeDocument/2006/relationships/hyperlink" Target="http://www.who.int" TargetMode="External"/><Relationship Id="rId5" Type="http://schemas.openxmlformats.org/officeDocument/2006/relationships/hyperlink" Target="http://www.ghidurimedicale.ro/images/hta/hta_pac_a.jpg" TargetMode="External"/><Relationship Id="rId4" Type="http://schemas.openxmlformats.org/officeDocument/2006/relationships/hyperlink" Target="http://www.ghidurimedicale.ro/download/ghid_h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6EEF6D9-3557-4274-98EF-5EEB7A21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2610</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vt:lpstr>
    </vt:vector>
  </TitlesOfParts>
  <Company>xx</Company>
  <LinksUpToDate>false</LinksUpToDate>
  <CharactersWithSpaces>16685</CharactersWithSpaces>
  <SharedDoc>false</SharedDoc>
  <HLinks>
    <vt:vector size="36" baseType="variant">
      <vt:variant>
        <vt:i4>5439511</vt:i4>
      </vt:variant>
      <vt:variant>
        <vt:i4>0</vt:i4>
      </vt:variant>
      <vt:variant>
        <vt:i4>0</vt:i4>
      </vt:variant>
      <vt:variant>
        <vt:i4>5</vt:i4>
      </vt:variant>
      <vt:variant>
        <vt:lpwstr>http://www.informatiamedicala.ro/dictionar-medical/p/prevalenta-5142.html</vt:lpwstr>
      </vt:variant>
      <vt:variant>
        <vt:lpwstr/>
      </vt:variant>
      <vt:variant>
        <vt:i4>6946875</vt:i4>
      </vt:variant>
      <vt:variant>
        <vt:i4>12</vt:i4>
      </vt:variant>
      <vt:variant>
        <vt:i4>0</vt:i4>
      </vt:variant>
      <vt:variant>
        <vt:i4>5</vt:i4>
      </vt:variant>
      <vt:variant>
        <vt:lpwstr>http://www.ghidurimedicale.ro/images/hta/hta_pac_a.jpg</vt:lpwstr>
      </vt:variant>
      <vt:variant>
        <vt:lpwstr/>
      </vt:variant>
      <vt:variant>
        <vt:i4>589869</vt:i4>
      </vt:variant>
      <vt:variant>
        <vt:i4>9</vt:i4>
      </vt:variant>
      <vt:variant>
        <vt:i4>0</vt:i4>
      </vt:variant>
      <vt:variant>
        <vt:i4>5</vt:i4>
      </vt:variant>
      <vt:variant>
        <vt:lpwstr>http://www.ghidurimedicale.ro/download/ghid_hta.pdf</vt:lpwstr>
      </vt:variant>
      <vt:variant>
        <vt:lpwstr/>
      </vt:variant>
      <vt:variant>
        <vt:i4>5898269</vt:i4>
      </vt:variant>
      <vt:variant>
        <vt:i4>6</vt:i4>
      </vt:variant>
      <vt:variant>
        <vt:i4>0</vt:i4>
      </vt:variant>
      <vt:variant>
        <vt:i4>5</vt:i4>
      </vt:variant>
      <vt:variant>
        <vt:lpwstr>http://www.cpgn.net/web/uploadfile/2011/</vt:lpwstr>
      </vt:variant>
      <vt:variant>
        <vt:lpwstr/>
      </vt:variant>
      <vt:variant>
        <vt:i4>7143484</vt:i4>
      </vt:variant>
      <vt:variant>
        <vt:i4>3</vt:i4>
      </vt:variant>
      <vt:variant>
        <vt:i4>0</vt:i4>
      </vt:variant>
      <vt:variant>
        <vt:i4>5</vt:i4>
      </vt:variant>
      <vt:variant>
        <vt:lpwstr>http://www.ish-world.com/Documents/PocketGL_ENGLISH_EUR-A-B.PDF</vt:lpwstr>
      </vt:variant>
      <vt:variant>
        <vt:lpwstr/>
      </vt:variant>
      <vt:variant>
        <vt:i4>3014776</vt:i4>
      </vt:variant>
      <vt:variant>
        <vt:i4>0</vt:i4>
      </vt:variant>
      <vt:variant>
        <vt:i4>0</vt:i4>
      </vt:variant>
      <vt:variant>
        <vt:i4>5</vt:i4>
      </vt:variant>
      <vt:variant>
        <vt:lpwstr>http://www.who.int/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ioana beldean</dc:creator>
  <cp:lastModifiedBy>user</cp:lastModifiedBy>
  <cp:revision>2</cp:revision>
  <cp:lastPrinted>2016-04-20T08:33:00Z</cp:lastPrinted>
  <dcterms:created xsi:type="dcterms:W3CDTF">2017-04-24T06:45:00Z</dcterms:created>
  <dcterms:modified xsi:type="dcterms:W3CDTF">2017-04-24T06:45:00Z</dcterms:modified>
</cp:coreProperties>
</file>